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AC19" w14:textId="77777777" w:rsidR="004A7D07" w:rsidRPr="004A7D07" w:rsidRDefault="004A7D07" w:rsidP="00AD356E">
      <w:pPr>
        <w:spacing w:before="120" w:after="0" w:line="360" w:lineRule="auto"/>
        <w:rPr>
          <w:rFonts w:ascii="Arial" w:eastAsia="Times New Roman" w:hAnsi="Arial" w:cs="Arial"/>
          <w:b/>
          <w:bCs/>
          <w:sz w:val="28"/>
          <w:szCs w:val="28"/>
          <w:lang w:val="en-GB"/>
        </w:rPr>
      </w:pPr>
      <w:r w:rsidRPr="004A7D0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D7A31C4" w14:textId="77777777" w:rsidR="004A7D07" w:rsidRPr="004A7D07" w:rsidRDefault="004A7D07" w:rsidP="00AD356E">
      <w:pPr>
        <w:spacing w:before="120" w:after="0" w:line="360" w:lineRule="auto"/>
        <w:rPr>
          <w:rFonts w:ascii="Arial" w:eastAsia="Times New Roman" w:hAnsi="Arial" w:cs="Arial"/>
          <w:b/>
          <w:bCs/>
          <w:sz w:val="28"/>
          <w:szCs w:val="28"/>
          <w:lang w:val="en-GB"/>
        </w:rPr>
      </w:pPr>
      <w:r w:rsidRPr="004A7D07">
        <w:rPr>
          <w:rFonts w:ascii="Arial" w:eastAsia="Times New Roman" w:hAnsi="Arial" w:cs="Arial"/>
          <w:b/>
          <w:bCs/>
          <w:sz w:val="28"/>
          <w:szCs w:val="28"/>
          <w:lang w:val="en-GB"/>
        </w:rPr>
        <w:t>For any corrections, remarks, or suggestions, kindly contact us on translate@lloc.gov.bh</w:t>
      </w:r>
    </w:p>
    <w:p w14:paraId="03D4219F" w14:textId="77777777" w:rsidR="004A7D07" w:rsidRPr="004A7D07" w:rsidRDefault="004A7D07" w:rsidP="00AD356E">
      <w:pPr>
        <w:spacing w:before="120" w:after="0" w:line="360" w:lineRule="auto"/>
        <w:rPr>
          <w:rFonts w:ascii="Arial" w:eastAsia="Times New Roman" w:hAnsi="Arial" w:cs="Arial"/>
          <w:b/>
          <w:bCs/>
          <w:sz w:val="28"/>
          <w:szCs w:val="28"/>
          <w:lang w:val="en-GB"/>
        </w:rPr>
      </w:pPr>
      <w:r w:rsidRPr="004A7D07">
        <w:rPr>
          <w:rFonts w:ascii="Arial" w:eastAsia="Times New Roman" w:hAnsi="Arial" w:cs="Arial"/>
          <w:b/>
          <w:bCs/>
          <w:sz w:val="28"/>
          <w:szCs w:val="28"/>
          <w:lang w:val="en-GB"/>
        </w:rPr>
        <w:t>Published on the website on May 2024</w:t>
      </w:r>
      <w:r w:rsidRPr="004A7D07">
        <w:rPr>
          <w:rFonts w:ascii="Arial" w:eastAsia="Times New Roman" w:hAnsi="Arial" w:cs="Arial"/>
          <w:b/>
          <w:bCs/>
          <w:sz w:val="28"/>
          <w:szCs w:val="28"/>
          <w:lang w:val="en-GB"/>
        </w:rPr>
        <w:br w:type="page"/>
      </w:r>
    </w:p>
    <w:p w14:paraId="7C1A7626"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lastRenderedPageBreak/>
        <w:t>Ministry of Labour and Social Development </w:t>
      </w:r>
    </w:p>
    <w:p w14:paraId="1E338226"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t>Decision No. (82) of 2017 amending Article (3) of Decision No. (24) of 2008 regarding the Eligibility Criteria for a Disability Allowance </w:t>
      </w:r>
    </w:p>
    <w:p w14:paraId="3914A679"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Minister of Labour and Social Development: </w:t>
      </w:r>
    </w:p>
    <w:p w14:paraId="68435269"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br w:type="page"/>
      </w:r>
    </w:p>
    <w:p w14:paraId="79BD79E8"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Having reviewed the Law No. (74) of 2006 regarding the Regulation of rehabilitation and employment Disabled Persons, as amended; </w:t>
      </w:r>
    </w:p>
    <w:p w14:paraId="74FAAB78"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Decision No. (24) of 2008 regarding the Eligibility Criteria for a Disability Allowance, as amended; </w:t>
      </w:r>
    </w:p>
    <w:p w14:paraId="4F9113E7"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And the Decision No. (50) of 2010 establishing and forming the Disability Assessment Committee, as amended by Decision No. (11) of 2016; </w:t>
      </w:r>
    </w:p>
    <w:p w14:paraId="0BB561C2"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And upon the submission of the Undersecretary of the Ministry of labour and Social Development, </w:t>
      </w:r>
    </w:p>
    <w:p w14:paraId="487404FA"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t>Hereby Decides: </w:t>
      </w:r>
    </w:p>
    <w:p w14:paraId="25EFB8D3"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t>Article One </w:t>
      </w:r>
    </w:p>
    <w:p w14:paraId="78922D7F"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The text of Article (3) of Decision No. (24) of 2008 regarding the Eligibility Criteria for a Disability Allowance shall be replaced with the following text: </w:t>
      </w:r>
    </w:p>
    <w:p w14:paraId="1AE85FD8"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t>"Article (3): </w:t>
      </w:r>
    </w:p>
    <w:p w14:paraId="5FB19AF0"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For those entitled to an allowance, the following are required: </w:t>
      </w:r>
    </w:p>
    <w:p w14:paraId="3B91CF3E"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1- They have to be a disabled person whose disability is proven by the Disability Assessment Committee. </w:t>
      </w:r>
    </w:p>
    <w:p w14:paraId="63C84022"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2- The person concerned must be a Bahraini citizen, permanently resident in the Kingdom of Bahrain, or a descendant of a Bahraini woman married to a foreigner permanently resident in the Kingdom." </w:t>
      </w:r>
    </w:p>
    <w:p w14:paraId="1451448D"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t>Article Two </w:t>
      </w:r>
    </w:p>
    <w:p w14:paraId="0CBF93CB"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The Undersecretary of the Ministry of Labour and Social Development shall implement this decision, and it shall come into force from the day following the date of its publication in the Official Gazette. </w:t>
      </w:r>
    </w:p>
    <w:p w14:paraId="2C95798F"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t>Minister of Labour and Social Development </w:t>
      </w:r>
    </w:p>
    <w:p w14:paraId="7D65403B"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t>Jameel Bin Mohammed Ali Humaidan </w:t>
      </w:r>
    </w:p>
    <w:p w14:paraId="305E1D1B"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b/>
          <w:bCs/>
          <w:sz w:val="28"/>
          <w:szCs w:val="28"/>
          <w:lang w:val="en-GB"/>
        </w:rPr>
        <w:t>Issued on:</w:t>
      </w:r>
      <w:r w:rsidRPr="004A7D07">
        <w:rPr>
          <w:rFonts w:ascii="Arial" w:eastAsia="Times New Roman" w:hAnsi="Arial" w:cs="Arial"/>
          <w:sz w:val="28"/>
          <w:szCs w:val="28"/>
          <w:lang w:val="en-GB"/>
        </w:rPr>
        <w:t> 26 Safar 1439 A.H. </w:t>
      </w:r>
    </w:p>
    <w:p w14:paraId="258F7073" w14:textId="77777777" w:rsidR="004A7D07" w:rsidRPr="004A7D07" w:rsidRDefault="004A7D07" w:rsidP="00AD356E">
      <w:pPr>
        <w:spacing w:before="120" w:after="0" w:line="360" w:lineRule="auto"/>
        <w:rPr>
          <w:rFonts w:ascii="Arial" w:eastAsia="Times New Roman" w:hAnsi="Arial" w:cs="Arial"/>
          <w:sz w:val="28"/>
          <w:szCs w:val="28"/>
          <w:lang w:val="en-GB"/>
        </w:rPr>
      </w:pPr>
      <w:r w:rsidRPr="004A7D07">
        <w:rPr>
          <w:rFonts w:ascii="Arial" w:eastAsia="Times New Roman" w:hAnsi="Arial" w:cs="Arial"/>
          <w:sz w:val="28"/>
          <w:szCs w:val="28"/>
          <w:lang w:val="en-GB"/>
        </w:rPr>
        <w:t>Corresponding to: 15 November 2017 </w:t>
      </w:r>
    </w:p>
    <w:p w14:paraId="0AD9A4E0" w14:textId="77777777" w:rsidR="004A7D07" w:rsidRPr="004A7D07" w:rsidRDefault="004A7D07" w:rsidP="00AD356E">
      <w:pPr>
        <w:spacing w:before="120" w:after="0" w:line="360" w:lineRule="auto"/>
        <w:rPr>
          <w:rFonts w:ascii="Arial" w:eastAsia="Times New Roman" w:hAnsi="Arial" w:cs="Arial"/>
          <w:b/>
          <w:bCs/>
          <w:sz w:val="28"/>
          <w:szCs w:val="28"/>
        </w:rPr>
      </w:pPr>
    </w:p>
    <w:p w14:paraId="5A96E896" w14:textId="77777777" w:rsidR="004A7D07" w:rsidRPr="004A7D07" w:rsidRDefault="004A7D07" w:rsidP="00AD356E">
      <w:pPr>
        <w:spacing w:before="120" w:after="0" w:line="360" w:lineRule="auto"/>
        <w:rPr>
          <w:rFonts w:ascii="Arial" w:hAnsi="Arial" w:cs="Arial"/>
          <w:sz w:val="28"/>
          <w:szCs w:val="28"/>
        </w:rPr>
      </w:pPr>
    </w:p>
    <w:sectPr w:rsidR="004A7D07" w:rsidRPr="004A7D07" w:rsidSect="00AC5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07"/>
    <w:rsid w:val="000129C5"/>
    <w:rsid w:val="004A7D07"/>
    <w:rsid w:val="00946FD6"/>
    <w:rsid w:val="00AC5CE3"/>
    <w:rsid w:val="00AD356E"/>
    <w:rsid w:val="00BD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FF5C7"/>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2024-05-14T10:08:00Z</dcterms:created>
  <dcterms:modified xsi:type="dcterms:W3CDTF">2024-05-15T18:28:00Z</dcterms:modified>
</cp:coreProperties>
</file>