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23A3A" w14:textId="77777777" w:rsidR="007E60A1" w:rsidRPr="007E60A1" w:rsidRDefault="007E60A1" w:rsidP="00CA74A8">
      <w:pPr>
        <w:spacing w:before="120" w:after="0" w:line="360" w:lineRule="auto"/>
        <w:rPr>
          <w:rFonts w:ascii="Arial" w:eastAsia="Times New Roman" w:hAnsi="Arial" w:cs="Arial"/>
          <w:b/>
          <w:bCs/>
          <w:sz w:val="28"/>
          <w:szCs w:val="28"/>
          <w:lang w:val="en-GB"/>
        </w:rPr>
      </w:pPr>
      <w:r w:rsidRPr="007E60A1">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580A466" w14:textId="77777777" w:rsidR="007E60A1" w:rsidRPr="007E60A1" w:rsidRDefault="007E60A1" w:rsidP="00CA74A8">
      <w:pPr>
        <w:spacing w:before="120" w:after="0" w:line="360" w:lineRule="auto"/>
        <w:rPr>
          <w:rFonts w:ascii="Arial" w:eastAsia="Times New Roman" w:hAnsi="Arial" w:cs="Arial"/>
          <w:b/>
          <w:bCs/>
          <w:sz w:val="28"/>
          <w:szCs w:val="28"/>
          <w:lang w:val="en-GB"/>
        </w:rPr>
      </w:pPr>
      <w:r w:rsidRPr="007E60A1">
        <w:rPr>
          <w:rFonts w:ascii="Arial" w:eastAsia="Times New Roman" w:hAnsi="Arial" w:cs="Arial"/>
          <w:b/>
          <w:bCs/>
          <w:sz w:val="28"/>
          <w:szCs w:val="28"/>
          <w:lang w:val="en-GB"/>
        </w:rPr>
        <w:t>For any corrections, remarks, or suggestions, kindly contact us on translate@lloc.gov.bh</w:t>
      </w:r>
    </w:p>
    <w:p w14:paraId="632FDB62" w14:textId="77777777" w:rsidR="007E60A1" w:rsidRPr="007E60A1" w:rsidRDefault="007E60A1" w:rsidP="00CA74A8">
      <w:pPr>
        <w:spacing w:before="120" w:after="0" w:line="360" w:lineRule="auto"/>
        <w:rPr>
          <w:rFonts w:ascii="Arial" w:eastAsia="Times New Roman" w:hAnsi="Arial" w:cs="Arial"/>
          <w:b/>
          <w:bCs/>
          <w:sz w:val="28"/>
          <w:szCs w:val="28"/>
          <w:lang w:val="en-GB"/>
        </w:rPr>
      </w:pPr>
      <w:r w:rsidRPr="007E60A1">
        <w:rPr>
          <w:rFonts w:ascii="Arial" w:eastAsia="Times New Roman" w:hAnsi="Arial" w:cs="Arial"/>
          <w:b/>
          <w:bCs/>
          <w:sz w:val="28"/>
          <w:szCs w:val="28"/>
          <w:lang w:val="en-GB"/>
        </w:rPr>
        <w:t>Published on the website on May 2024</w:t>
      </w:r>
      <w:r w:rsidRPr="007E60A1">
        <w:rPr>
          <w:rFonts w:ascii="Arial" w:eastAsia="Times New Roman" w:hAnsi="Arial" w:cs="Arial"/>
          <w:b/>
          <w:bCs/>
          <w:sz w:val="28"/>
          <w:szCs w:val="28"/>
          <w:lang w:val="en-GB"/>
        </w:rPr>
        <w:br w:type="page"/>
      </w:r>
    </w:p>
    <w:p w14:paraId="3E002208" w14:textId="77777777" w:rsidR="007E60A1" w:rsidRPr="007E60A1" w:rsidRDefault="007E60A1" w:rsidP="00CA74A8">
      <w:pPr>
        <w:spacing w:before="120" w:after="0" w:line="360" w:lineRule="auto"/>
        <w:jc w:val="center"/>
        <w:rPr>
          <w:rFonts w:ascii="Arial" w:eastAsia="Times New Roman" w:hAnsi="Arial" w:cs="Arial"/>
          <w:sz w:val="28"/>
          <w:szCs w:val="28"/>
          <w:lang w:val="en-GB"/>
        </w:rPr>
      </w:pPr>
      <w:r w:rsidRPr="007E60A1">
        <w:rPr>
          <w:rFonts w:ascii="Arial" w:eastAsia="Times New Roman" w:hAnsi="Arial" w:cs="Arial"/>
          <w:b/>
          <w:bCs/>
          <w:sz w:val="28"/>
          <w:szCs w:val="28"/>
          <w:lang w:val="en-GB"/>
        </w:rPr>
        <w:lastRenderedPageBreak/>
        <w:t>Ministry of Justice, Islamic Affairs and Waqf</w:t>
      </w:r>
    </w:p>
    <w:p w14:paraId="2626682C" w14:textId="77777777" w:rsidR="007E60A1" w:rsidRPr="007E60A1" w:rsidRDefault="007E60A1" w:rsidP="00CA74A8">
      <w:pPr>
        <w:spacing w:before="120" w:after="0" w:line="360" w:lineRule="auto"/>
        <w:jc w:val="center"/>
        <w:rPr>
          <w:rFonts w:ascii="Arial" w:eastAsia="Times New Roman" w:hAnsi="Arial" w:cs="Arial"/>
          <w:sz w:val="28"/>
          <w:szCs w:val="28"/>
          <w:lang w:val="en-GB"/>
        </w:rPr>
      </w:pPr>
      <w:r w:rsidRPr="007E60A1">
        <w:rPr>
          <w:rFonts w:ascii="Arial" w:eastAsia="Times New Roman" w:hAnsi="Arial" w:cs="Arial"/>
          <w:b/>
          <w:bCs/>
          <w:sz w:val="28"/>
          <w:szCs w:val="28"/>
          <w:lang w:val="en-GB"/>
        </w:rPr>
        <w:t>Decision No. (61) of 2022 amending the Schedule of Rehabilitation and Training Programs attached to Decision No. (36) of 2018 regarding the Determination of Rehabilitation and Training Programs for Those Sentenced to Alternative Penalties and the Procedures of Their Implementation</w:t>
      </w:r>
    </w:p>
    <w:p w14:paraId="2A771C9A" w14:textId="77777777" w:rsidR="007E60A1" w:rsidRPr="007E60A1" w:rsidRDefault="007E60A1" w:rsidP="00CA74A8">
      <w:pPr>
        <w:spacing w:before="120" w:after="0" w:line="360" w:lineRule="auto"/>
        <w:rPr>
          <w:rFonts w:ascii="Arial" w:eastAsia="Times New Roman" w:hAnsi="Arial" w:cs="Arial"/>
          <w:sz w:val="28"/>
          <w:szCs w:val="28"/>
          <w:lang w:val="en-GB" w:bidi="ar-BH"/>
        </w:rPr>
      </w:pPr>
      <w:r w:rsidRPr="007E60A1">
        <w:rPr>
          <w:rFonts w:ascii="Arial" w:eastAsia="Times New Roman" w:hAnsi="Arial" w:cs="Arial"/>
          <w:sz w:val="28"/>
          <w:szCs w:val="28"/>
          <w:lang w:val="en-GB"/>
        </w:rPr>
        <w:br w:type="page"/>
      </w:r>
    </w:p>
    <w:p w14:paraId="369117C3"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sz w:val="28"/>
          <w:szCs w:val="28"/>
          <w:lang w:val="en-GB"/>
        </w:rPr>
        <w:lastRenderedPageBreak/>
        <w:t>Minister of Justice, Islamic Affairs and Waqf: </w:t>
      </w:r>
    </w:p>
    <w:p w14:paraId="7749692E"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sz w:val="28"/>
          <w:szCs w:val="28"/>
          <w:lang w:val="en-GB"/>
        </w:rPr>
        <w:t xml:space="preserve">Having reviewed Law No. (18) of 2017 regarding Penalties and Alternative Measures, as amended by Legislative Decree No. (24) of 2021, in particular Article (8) </w:t>
      </w:r>
      <w:proofErr w:type="gramStart"/>
      <w:r w:rsidRPr="007E60A1">
        <w:rPr>
          <w:rFonts w:ascii="Arial" w:eastAsia="Times New Roman" w:hAnsi="Arial" w:cs="Arial"/>
          <w:sz w:val="28"/>
          <w:szCs w:val="28"/>
          <w:lang w:val="en-GB"/>
        </w:rPr>
        <w:t>thereof;</w:t>
      </w:r>
      <w:proofErr w:type="gramEnd"/>
      <w:r w:rsidRPr="007E60A1">
        <w:rPr>
          <w:rFonts w:ascii="Arial" w:eastAsia="Times New Roman" w:hAnsi="Arial" w:cs="Arial"/>
          <w:sz w:val="28"/>
          <w:szCs w:val="28"/>
          <w:lang w:val="en-GB"/>
        </w:rPr>
        <w:t> </w:t>
      </w:r>
    </w:p>
    <w:p w14:paraId="565505A4"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sz w:val="28"/>
          <w:szCs w:val="28"/>
          <w:lang w:val="en-GB"/>
        </w:rPr>
        <w:t xml:space="preserve">Decision No. (36) of 2018 regarding the Determination of Rehabilitation and Training Programs for Those Sentenced to Alternative Penalties and the Procedures of Their Implementation, as </w:t>
      </w:r>
      <w:proofErr w:type="gramStart"/>
      <w:r w:rsidRPr="007E60A1">
        <w:rPr>
          <w:rFonts w:ascii="Arial" w:eastAsia="Times New Roman" w:hAnsi="Arial" w:cs="Arial"/>
          <w:sz w:val="28"/>
          <w:szCs w:val="28"/>
          <w:lang w:val="en-GB"/>
        </w:rPr>
        <w:t>amended;</w:t>
      </w:r>
      <w:proofErr w:type="gramEnd"/>
      <w:r w:rsidRPr="007E60A1">
        <w:rPr>
          <w:rFonts w:ascii="Arial" w:eastAsia="Times New Roman" w:hAnsi="Arial" w:cs="Arial"/>
          <w:sz w:val="28"/>
          <w:szCs w:val="28"/>
          <w:lang w:val="en-GB"/>
        </w:rPr>
        <w:t> </w:t>
      </w:r>
    </w:p>
    <w:p w14:paraId="16C64F34"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sz w:val="28"/>
          <w:szCs w:val="28"/>
          <w:lang w:val="en-GB"/>
        </w:rPr>
        <w:t xml:space="preserve">And Decision No. (76) of 2018 regarding the Determination of the Relevant Authority and the Mechanism for Implementing Penalties and Alternative Measures, as </w:t>
      </w:r>
      <w:proofErr w:type="gramStart"/>
      <w:r w:rsidRPr="007E60A1">
        <w:rPr>
          <w:rFonts w:ascii="Arial" w:eastAsia="Times New Roman" w:hAnsi="Arial" w:cs="Arial"/>
          <w:sz w:val="28"/>
          <w:szCs w:val="28"/>
          <w:lang w:val="en-GB"/>
        </w:rPr>
        <w:t>amended;</w:t>
      </w:r>
      <w:proofErr w:type="gramEnd"/>
      <w:r w:rsidRPr="007E60A1">
        <w:rPr>
          <w:rFonts w:ascii="Arial" w:eastAsia="Times New Roman" w:hAnsi="Arial" w:cs="Arial"/>
          <w:sz w:val="28"/>
          <w:szCs w:val="28"/>
          <w:lang w:val="en-GB"/>
        </w:rPr>
        <w:t> </w:t>
      </w:r>
    </w:p>
    <w:p w14:paraId="50D94393"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sz w:val="28"/>
          <w:szCs w:val="28"/>
          <w:lang w:val="en-GB"/>
        </w:rPr>
        <w:t xml:space="preserve">After coordination with the Minister of </w:t>
      </w:r>
      <w:proofErr w:type="gramStart"/>
      <w:r w:rsidRPr="007E60A1">
        <w:rPr>
          <w:rFonts w:ascii="Arial" w:eastAsia="Times New Roman" w:hAnsi="Arial" w:cs="Arial"/>
          <w:sz w:val="28"/>
          <w:szCs w:val="28"/>
          <w:lang w:val="en-GB"/>
        </w:rPr>
        <w:t>Interior;</w:t>
      </w:r>
      <w:proofErr w:type="gramEnd"/>
      <w:r w:rsidRPr="007E60A1">
        <w:rPr>
          <w:rFonts w:ascii="Arial" w:eastAsia="Times New Roman" w:hAnsi="Arial" w:cs="Arial"/>
          <w:sz w:val="28"/>
          <w:szCs w:val="28"/>
          <w:lang w:val="en-GB"/>
        </w:rPr>
        <w:t> </w:t>
      </w:r>
    </w:p>
    <w:p w14:paraId="3A023565"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sz w:val="28"/>
          <w:szCs w:val="28"/>
          <w:lang w:val="en-GB"/>
        </w:rPr>
        <w:t xml:space="preserve">And upon the submission of the Undersecretary of the Ministry for Justice and Islamic </w:t>
      </w:r>
      <w:proofErr w:type="gramStart"/>
      <w:r w:rsidRPr="007E60A1">
        <w:rPr>
          <w:rFonts w:ascii="Arial" w:eastAsia="Times New Roman" w:hAnsi="Arial" w:cs="Arial"/>
          <w:sz w:val="28"/>
          <w:szCs w:val="28"/>
          <w:lang w:val="en-GB"/>
        </w:rPr>
        <w:t>Affairs;</w:t>
      </w:r>
      <w:proofErr w:type="gramEnd"/>
      <w:r w:rsidRPr="007E60A1">
        <w:rPr>
          <w:rFonts w:ascii="Arial" w:eastAsia="Times New Roman" w:hAnsi="Arial" w:cs="Arial"/>
          <w:sz w:val="28"/>
          <w:szCs w:val="28"/>
          <w:lang w:val="en-GB"/>
        </w:rPr>
        <w:t> </w:t>
      </w:r>
    </w:p>
    <w:p w14:paraId="01C7391D"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b/>
          <w:bCs/>
          <w:sz w:val="28"/>
          <w:szCs w:val="28"/>
          <w:lang w:val="en-GB"/>
        </w:rPr>
        <w:t>Hereby Decides: </w:t>
      </w:r>
    </w:p>
    <w:p w14:paraId="52E6C3B5"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b/>
          <w:bCs/>
          <w:sz w:val="28"/>
          <w:szCs w:val="28"/>
          <w:lang w:val="en-GB"/>
        </w:rPr>
        <w:t>Article (1) </w:t>
      </w:r>
    </w:p>
    <w:p w14:paraId="79EEDD1B" w14:textId="77777777" w:rsid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sz w:val="28"/>
          <w:szCs w:val="28"/>
          <w:lang w:val="en-GB"/>
        </w:rPr>
        <w:t>A new Clause No. (7) shall be added to the Schedule of Rehabilitation and Training Programs attached to Decision No. (36) of 2018 regarding the Determination of Rehabilitation and Training Programs for Those Sentenced to Alternative Penalties and the Procedures of Their Implementation with the following text: </w:t>
      </w:r>
    </w:p>
    <w:p w14:paraId="69C63C96" w14:textId="77777777" w:rsidR="00D551F5" w:rsidRPr="007E60A1" w:rsidRDefault="00D551F5" w:rsidP="00CA74A8">
      <w:pPr>
        <w:spacing w:before="120" w:after="0" w:line="360" w:lineRule="auto"/>
        <w:rPr>
          <w:rFonts w:ascii="Arial" w:eastAsia="Times New Roman" w:hAnsi="Arial" w:cs="Arial"/>
          <w:sz w:val="28"/>
          <w:szCs w:val="28"/>
          <w:lang w:val="en-GB"/>
        </w:rPr>
      </w:pPr>
    </w:p>
    <w:tbl>
      <w:tblPr>
        <w:tblStyle w:val="TableGrid"/>
        <w:tblW w:w="0" w:type="auto"/>
        <w:tblInd w:w="0" w:type="dxa"/>
        <w:tblLook w:val="04A0" w:firstRow="1" w:lastRow="0" w:firstColumn="1" w:lastColumn="0" w:noHBand="0" w:noVBand="1"/>
      </w:tblPr>
      <w:tblGrid>
        <w:gridCol w:w="1274"/>
        <w:gridCol w:w="3685"/>
        <w:gridCol w:w="4103"/>
      </w:tblGrid>
      <w:tr w:rsidR="00D551F5" w:rsidRPr="00D551F5" w14:paraId="0CCBE033" w14:textId="77777777" w:rsidTr="00D551F5">
        <w:tc>
          <w:tcPr>
            <w:tcW w:w="1271" w:type="dxa"/>
          </w:tcPr>
          <w:p w14:paraId="0E810193" w14:textId="750F274C" w:rsidR="00D551F5" w:rsidRPr="00D551F5" w:rsidRDefault="00D551F5" w:rsidP="00D551F5">
            <w:pPr>
              <w:spacing w:before="120" w:after="0" w:line="360" w:lineRule="auto"/>
              <w:jc w:val="center"/>
              <w:rPr>
                <w:rFonts w:ascii="Arial" w:eastAsia="Times New Roman" w:hAnsi="Arial" w:cs="Arial"/>
                <w:b/>
                <w:bCs/>
                <w:sz w:val="28"/>
                <w:szCs w:val="28"/>
                <w:lang w:val="en-GB"/>
              </w:rPr>
            </w:pPr>
            <w:r w:rsidRPr="00D551F5">
              <w:rPr>
                <w:rFonts w:ascii="Arial" w:eastAsia="Times New Roman" w:hAnsi="Arial" w:cs="Arial"/>
                <w:b/>
                <w:bCs/>
                <w:sz w:val="28"/>
                <w:szCs w:val="28"/>
                <w:lang w:val="en-GB"/>
              </w:rPr>
              <w:t>Number</w:t>
            </w:r>
          </w:p>
        </w:tc>
        <w:tc>
          <w:tcPr>
            <w:tcW w:w="3686" w:type="dxa"/>
          </w:tcPr>
          <w:p w14:paraId="06262106" w14:textId="61638286" w:rsidR="00D551F5" w:rsidRPr="00D551F5" w:rsidRDefault="00D551F5" w:rsidP="00D551F5">
            <w:pPr>
              <w:spacing w:before="120" w:after="0" w:line="360" w:lineRule="auto"/>
              <w:jc w:val="center"/>
              <w:rPr>
                <w:rFonts w:ascii="Arial" w:eastAsia="Times New Roman" w:hAnsi="Arial" w:cs="Arial"/>
                <w:b/>
                <w:bCs/>
                <w:sz w:val="28"/>
                <w:szCs w:val="28"/>
                <w:lang w:val="en-GB"/>
              </w:rPr>
            </w:pPr>
            <w:r w:rsidRPr="00D551F5">
              <w:rPr>
                <w:rFonts w:ascii="Arial" w:eastAsia="Times New Roman" w:hAnsi="Arial" w:cs="Arial"/>
                <w:b/>
                <w:bCs/>
                <w:sz w:val="28"/>
                <w:szCs w:val="28"/>
                <w:lang w:val="en-GB"/>
              </w:rPr>
              <w:t>Program Type</w:t>
            </w:r>
          </w:p>
        </w:tc>
        <w:tc>
          <w:tcPr>
            <w:tcW w:w="4105" w:type="dxa"/>
          </w:tcPr>
          <w:p w14:paraId="7FCD94A1" w14:textId="41932885" w:rsidR="00D551F5" w:rsidRPr="00D551F5" w:rsidRDefault="00D551F5" w:rsidP="00D551F5">
            <w:pPr>
              <w:spacing w:before="120" w:after="0" w:line="360" w:lineRule="auto"/>
              <w:jc w:val="center"/>
              <w:rPr>
                <w:rFonts w:ascii="Arial" w:eastAsia="Times New Roman" w:hAnsi="Arial" w:cs="Arial"/>
                <w:b/>
                <w:bCs/>
                <w:sz w:val="28"/>
                <w:szCs w:val="28"/>
                <w:lang w:val="en-GB"/>
              </w:rPr>
            </w:pPr>
            <w:r w:rsidRPr="00D551F5">
              <w:rPr>
                <w:rFonts w:ascii="Arial" w:eastAsia="Times New Roman" w:hAnsi="Arial" w:cs="Arial"/>
                <w:b/>
                <w:bCs/>
                <w:sz w:val="28"/>
                <w:szCs w:val="28"/>
                <w:lang w:val="en-GB"/>
              </w:rPr>
              <w:t>Supervising Authority</w:t>
            </w:r>
          </w:p>
        </w:tc>
      </w:tr>
      <w:tr w:rsidR="00D551F5" w:rsidRPr="00D551F5" w14:paraId="18071044" w14:textId="77777777" w:rsidTr="00D551F5">
        <w:tc>
          <w:tcPr>
            <w:tcW w:w="1271" w:type="dxa"/>
          </w:tcPr>
          <w:p w14:paraId="0464B3D0" w14:textId="77777777" w:rsidR="00D551F5" w:rsidRPr="00D551F5" w:rsidRDefault="00D551F5" w:rsidP="00E20BA9">
            <w:pPr>
              <w:spacing w:before="120" w:after="0" w:line="360" w:lineRule="auto"/>
              <w:rPr>
                <w:rFonts w:ascii="Arial" w:eastAsia="Times New Roman" w:hAnsi="Arial" w:cs="Arial"/>
                <w:sz w:val="28"/>
                <w:szCs w:val="28"/>
                <w:lang w:val="en-GB"/>
              </w:rPr>
            </w:pPr>
            <w:r w:rsidRPr="00D551F5">
              <w:rPr>
                <w:rFonts w:ascii="Arial" w:eastAsia="Times New Roman" w:hAnsi="Arial" w:cs="Arial"/>
                <w:sz w:val="28"/>
                <w:szCs w:val="28"/>
                <w:lang w:val="en-GB"/>
              </w:rPr>
              <w:t>7 </w:t>
            </w:r>
          </w:p>
        </w:tc>
        <w:tc>
          <w:tcPr>
            <w:tcW w:w="3686" w:type="dxa"/>
          </w:tcPr>
          <w:p w14:paraId="2652D747" w14:textId="77777777" w:rsidR="00D551F5" w:rsidRPr="00D551F5" w:rsidRDefault="00D551F5" w:rsidP="00E20BA9">
            <w:pPr>
              <w:spacing w:before="120" w:after="0" w:line="360" w:lineRule="auto"/>
              <w:rPr>
                <w:rFonts w:ascii="Arial" w:eastAsia="Times New Roman" w:hAnsi="Arial" w:cs="Arial"/>
                <w:sz w:val="28"/>
                <w:szCs w:val="28"/>
                <w:lang w:val="en-GB"/>
              </w:rPr>
            </w:pPr>
            <w:proofErr w:type="spellStart"/>
            <w:r w:rsidRPr="00D551F5">
              <w:rPr>
                <w:rFonts w:ascii="Arial" w:eastAsia="Times New Roman" w:hAnsi="Arial" w:cs="Arial"/>
                <w:sz w:val="28"/>
                <w:szCs w:val="28"/>
                <w:lang w:val="en-GB"/>
              </w:rPr>
              <w:t>Taafi</w:t>
            </w:r>
            <w:proofErr w:type="spellEnd"/>
            <w:r w:rsidRPr="00D551F5">
              <w:rPr>
                <w:rFonts w:ascii="Arial" w:eastAsia="Times New Roman" w:hAnsi="Arial" w:cs="Arial"/>
                <w:sz w:val="28"/>
                <w:szCs w:val="28"/>
                <w:lang w:val="en-GB"/>
              </w:rPr>
              <w:t xml:space="preserve"> (Recovery) Program </w:t>
            </w:r>
          </w:p>
        </w:tc>
        <w:tc>
          <w:tcPr>
            <w:tcW w:w="4105" w:type="dxa"/>
          </w:tcPr>
          <w:p w14:paraId="531998C8" w14:textId="77777777" w:rsidR="00D551F5" w:rsidRPr="00D551F5" w:rsidRDefault="00D551F5" w:rsidP="00E20BA9">
            <w:pPr>
              <w:spacing w:before="120" w:after="0" w:line="360" w:lineRule="auto"/>
              <w:rPr>
                <w:rFonts w:ascii="Arial" w:eastAsia="Times New Roman" w:hAnsi="Arial" w:cs="Arial"/>
                <w:sz w:val="28"/>
                <w:szCs w:val="28"/>
                <w:lang w:val="en-GB"/>
              </w:rPr>
            </w:pPr>
            <w:proofErr w:type="spellStart"/>
            <w:r w:rsidRPr="00D551F5">
              <w:rPr>
                <w:rFonts w:ascii="Arial" w:eastAsia="Times New Roman" w:hAnsi="Arial" w:cs="Arial"/>
                <w:sz w:val="28"/>
                <w:szCs w:val="28"/>
                <w:lang w:val="en-GB"/>
              </w:rPr>
              <w:t>Taafi</w:t>
            </w:r>
            <w:proofErr w:type="spellEnd"/>
            <w:r w:rsidRPr="00D551F5">
              <w:rPr>
                <w:rFonts w:ascii="Arial" w:eastAsia="Times New Roman" w:hAnsi="Arial" w:cs="Arial"/>
                <w:sz w:val="28"/>
                <w:szCs w:val="28"/>
                <w:lang w:val="en-GB"/>
              </w:rPr>
              <w:t xml:space="preserve"> Drug Recovery Association </w:t>
            </w:r>
          </w:p>
        </w:tc>
      </w:tr>
    </w:tbl>
    <w:p w14:paraId="272F09F2" w14:textId="77777777" w:rsidR="00D551F5" w:rsidRDefault="00D551F5" w:rsidP="00CA74A8">
      <w:pPr>
        <w:spacing w:before="120" w:after="0" w:line="360" w:lineRule="auto"/>
        <w:rPr>
          <w:rFonts w:ascii="Arial" w:eastAsia="Times New Roman" w:hAnsi="Arial" w:cs="Arial"/>
          <w:b/>
          <w:bCs/>
          <w:sz w:val="28"/>
          <w:szCs w:val="28"/>
          <w:lang w:val="en-GB"/>
        </w:rPr>
      </w:pPr>
    </w:p>
    <w:p w14:paraId="781F3799" w14:textId="77777777" w:rsidR="00D551F5" w:rsidRDefault="00D551F5" w:rsidP="00CA74A8">
      <w:pPr>
        <w:spacing w:before="120" w:after="0" w:line="360" w:lineRule="auto"/>
        <w:rPr>
          <w:rFonts w:ascii="Arial" w:eastAsia="Times New Roman" w:hAnsi="Arial" w:cs="Arial"/>
          <w:b/>
          <w:bCs/>
          <w:sz w:val="28"/>
          <w:szCs w:val="28"/>
          <w:lang w:val="en-GB"/>
        </w:rPr>
      </w:pPr>
    </w:p>
    <w:p w14:paraId="2E24DF91" w14:textId="77777777" w:rsidR="00D551F5" w:rsidRDefault="00D551F5" w:rsidP="00CA74A8">
      <w:pPr>
        <w:spacing w:before="120" w:after="0" w:line="360" w:lineRule="auto"/>
        <w:rPr>
          <w:rFonts w:ascii="Arial" w:eastAsia="Times New Roman" w:hAnsi="Arial" w:cs="Arial"/>
          <w:b/>
          <w:bCs/>
          <w:sz w:val="28"/>
          <w:szCs w:val="28"/>
          <w:lang w:val="en-GB"/>
        </w:rPr>
      </w:pPr>
    </w:p>
    <w:p w14:paraId="489B0FDB" w14:textId="60A4D24E"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b/>
          <w:bCs/>
          <w:sz w:val="28"/>
          <w:szCs w:val="28"/>
          <w:lang w:val="en-GB"/>
        </w:rPr>
        <w:t>Article (2) </w:t>
      </w:r>
    </w:p>
    <w:p w14:paraId="7FBC2A62"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sz w:val="28"/>
          <w:szCs w:val="28"/>
          <w:lang w:val="en-GB"/>
        </w:rPr>
        <w:t>The Undersecretary of the Ministry for Justice and Islamic Affairs shall implement the provisions of this Decision, and it shall come into force from the day following the date of its publication in the Official Gazette. </w:t>
      </w:r>
    </w:p>
    <w:p w14:paraId="70B2EC08"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b/>
          <w:bCs/>
          <w:sz w:val="28"/>
          <w:szCs w:val="28"/>
          <w:lang w:val="en-GB"/>
        </w:rPr>
        <w:t>Minister of Justice, </w:t>
      </w:r>
    </w:p>
    <w:p w14:paraId="1B15E79E"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b/>
          <w:bCs/>
          <w:sz w:val="28"/>
          <w:szCs w:val="28"/>
          <w:lang w:val="en-GB"/>
        </w:rPr>
        <w:t>Islamic Affairs and Waqf </w:t>
      </w:r>
    </w:p>
    <w:p w14:paraId="326363DA"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b/>
          <w:bCs/>
          <w:sz w:val="28"/>
          <w:szCs w:val="28"/>
          <w:lang w:val="en-GB"/>
        </w:rPr>
        <w:t>Khalid bin Ali bin Abdullah Al Khalifa </w:t>
      </w:r>
    </w:p>
    <w:p w14:paraId="29FA78AA"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sz w:val="28"/>
          <w:szCs w:val="28"/>
          <w:lang w:val="en-GB"/>
        </w:rPr>
        <w:t xml:space="preserve">Issued </w:t>
      </w:r>
      <w:proofErr w:type="gramStart"/>
      <w:r w:rsidRPr="007E60A1">
        <w:rPr>
          <w:rFonts w:ascii="Arial" w:eastAsia="Times New Roman" w:hAnsi="Arial" w:cs="Arial"/>
          <w:sz w:val="28"/>
          <w:szCs w:val="28"/>
          <w:lang w:val="en-GB"/>
        </w:rPr>
        <w:t>on:</w:t>
      </w:r>
      <w:proofErr w:type="gramEnd"/>
      <w:r w:rsidRPr="007E60A1">
        <w:rPr>
          <w:rFonts w:ascii="Arial" w:eastAsia="Times New Roman" w:hAnsi="Arial" w:cs="Arial"/>
          <w:sz w:val="28"/>
          <w:szCs w:val="28"/>
          <w:lang w:val="en-GB"/>
        </w:rPr>
        <w:t> 25 Ramadan 1443 A.H. </w:t>
      </w:r>
    </w:p>
    <w:p w14:paraId="08F3DCC4" w14:textId="77777777" w:rsidR="007E60A1" w:rsidRPr="007E60A1" w:rsidRDefault="007E60A1" w:rsidP="00CA74A8">
      <w:pPr>
        <w:spacing w:before="120" w:after="0" w:line="360" w:lineRule="auto"/>
        <w:rPr>
          <w:rFonts w:ascii="Arial" w:eastAsia="Times New Roman" w:hAnsi="Arial" w:cs="Arial"/>
          <w:sz w:val="28"/>
          <w:szCs w:val="28"/>
          <w:lang w:val="en-GB"/>
        </w:rPr>
      </w:pPr>
      <w:r w:rsidRPr="007E60A1">
        <w:rPr>
          <w:rFonts w:ascii="Arial" w:eastAsia="Times New Roman" w:hAnsi="Arial" w:cs="Arial"/>
          <w:sz w:val="28"/>
          <w:szCs w:val="28"/>
          <w:lang w:val="en-GB"/>
        </w:rPr>
        <w:t>Corresponding to: 26 April 2022 </w:t>
      </w:r>
    </w:p>
    <w:p w14:paraId="0E68F7DD" w14:textId="77777777" w:rsidR="007E60A1" w:rsidRPr="007E60A1" w:rsidRDefault="007E60A1" w:rsidP="00CA74A8">
      <w:pPr>
        <w:spacing w:before="120" w:after="0" w:line="360" w:lineRule="auto"/>
        <w:rPr>
          <w:rFonts w:ascii="Arial" w:eastAsia="Times New Roman" w:hAnsi="Arial" w:cs="Arial"/>
          <w:b/>
          <w:bCs/>
          <w:sz w:val="28"/>
          <w:szCs w:val="28"/>
        </w:rPr>
      </w:pPr>
    </w:p>
    <w:p w14:paraId="6BF996A6" w14:textId="77777777" w:rsidR="007E60A1" w:rsidRPr="007E60A1" w:rsidRDefault="007E60A1" w:rsidP="00CA74A8">
      <w:pPr>
        <w:spacing w:before="120" w:after="0" w:line="360" w:lineRule="auto"/>
        <w:rPr>
          <w:rFonts w:ascii="Arial" w:hAnsi="Arial" w:cs="Arial"/>
          <w:sz w:val="28"/>
          <w:szCs w:val="28"/>
        </w:rPr>
      </w:pPr>
    </w:p>
    <w:sectPr w:rsidR="007E60A1" w:rsidRPr="007E60A1" w:rsidSect="00745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A1"/>
    <w:rsid w:val="000129C5"/>
    <w:rsid w:val="000948D8"/>
    <w:rsid w:val="00745A06"/>
    <w:rsid w:val="007E60A1"/>
    <w:rsid w:val="00946FD6"/>
    <w:rsid w:val="00BD6D1C"/>
    <w:rsid w:val="00CA74A8"/>
    <w:rsid w:val="00D551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81832"/>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2024-05-14T10:06:00Z</dcterms:created>
  <dcterms:modified xsi:type="dcterms:W3CDTF">2024-05-23T04:39:00Z</dcterms:modified>
</cp:coreProperties>
</file>