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8E8EB4" w14:textId="77777777" w:rsidR="003158FA" w:rsidRPr="003158FA" w:rsidRDefault="003158FA" w:rsidP="00913DE1">
      <w:pPr>
        <w:spacing w:before="120" w:after="0" w:line="360" w:lineRule="auto"/>
        <w:rPr>
          <w:rFonts w:ascii="Arial" w:eastAsia="Times New Roman" w:hAnsi="Arial" w:cs="Arial"/>
          <w:b/>
          <w:bCs/>
          <w:sz w:val="28"/>
          <w:szCs w:val="28"/>
          <w:lang w:val="en-GB"/>
        </w:rPr>
      </w:pPr>
      <w:r w:rsidRPr="003158FA">
        <w:rPr>
          <w:rFonts w:ascii="Arial" w:eastAsia="Times New Roman" w:hAnsi="Arial" w:cs="Arial"/>
          <w:b/>
          <w:bCs/>
          <w:sz w:val="28"/>
          <w:szCs w:val="28"/>
          <w:lang w:val="en-GB"/>
        </w:rPr>
        <w:t>Disclaimer: The official version of the law and any amendments thereto is published in Arabic in the Official Gazette. This version of the law, including amendments thereto, is provided for guidance and easy reference purposes. The Legislation &amp; Legal Opinion Commission does not accept any liability for any discrepancy between this version and the official version as published in the Official Gazette and / or any inaccuracy or errors in the translation.</w:t>
      </w:r>
    </w:p>
    <w:p w14:paraId="2E056B54" w14:textId="77777777" w:rsidR="003158FA" w:rsidRPr="003158FA" w:rsidRDefault="003158FA" w:rsidP="00913DE1">
      <w:pPr>
        <w:spacing w:before="120" w:after="0" w:line="360" w:lineRule="auto"/>
        <w:rPr>
          <w:rFonts w:ascii="Arial" w:eastAsia="Times New Roman" w:hAnsi="Arial" w:cs="Arial"/>
          <w:b/>
          <w:bCs/>
          <w:sz w:val="28"/>
          <w:szCs w:val="28"/>
          <w:lang w:val="en-GB"/>
        </w:rPr>
      </w:pPr>
      <w:r w:rsidRPr="003158FA">
        <w:rPr>
          <w:rFonts w:ascii="Arial" w:eastAsia="Times New Roman" w:hAnsi="Arial" w:cs="Arial"/>
          <w:b/>
          <w:bCs/>
          <w:sz w:val="28"/>
          <w:szCs w:val="28"/>
          <w:lang w:val="en-GB"/>
        </w:rPr>
        <w:t>For any corrections, remarks, or suggestions, kindly contact us on translate@lloc.gov.bh</w:t>
      </w:r>
    </w:p>
    <w:p w14:paraId="20F34A7D" w14:textId="77777777" w:rsidR="003158FA" w:rsidRPr="003158FA" w:rsidRDefault="003158FA" w:rsidP="00913DE1">
      <w:pPr>
        <w:spacing w:before="120" w:after="0" w:line="360" w:lineRule="auto"/>
        <w:rPr>
          <w:rFonts w:ascii="Arial" w:eastAsia="Times New Roman" w:hAnsi="Arial" w:cs="Arial"/>
          <w:b/>
          <w:bCs/>
          <w:sz w:val="28"/>
          <w:szCs w:val="28"/>
          <w:lang w:val="en-GB"/>
        </w:rPr>
      </w:pPr>
      <w:r w:rsidRPr="003158FA">
        <w:rPr>
          <w:rFonts w:ascii="Arial" w:eastAsia="Times New Roman" w:hAnsi="Arial" w:cs="Arial"/>
          <w:b/>
          <w:bCs/>
          <w:sz w:val="28"/>
          <w:szCs w:val="28"/>
          <w:lang w:val="en-GB"/>
        </w:rPr>
        <w:t>Published on the website on May 2024</w:t>
      </w:r>
      <w:r w:rsidRPr="003158FA">
        <w:rPr>
          <w:rFonts w:ascii="Arial" w:eastAsia="Times New Roman" w:hAnsi="Arial" w:cs="Arial"/>
          <w:b/>
          <w:bCs/>
          <w:sz w:val="28"/>
          <w:szCs w:val="28"/>
          <w:lang w:val="en-GB"/>
        </w:rPr>
        <w:br w:type="page"/>
      </w:r>
    </w:p>
    <w:p w14:paraId="307D5023" w14:textId="77777777" w:rsidR="003158FA" w:rsidRPr="003158FA" w:rsidRDefault="003158FA" w:rsidP="00913DE1">
      <w:pPr>
        <w:spacing w:before="120" w:after="0" w:line="360" w:lineRule="auto"/>
        <w:jc w:val="center"/>
        <w:rPr>
          <w:rFonts w:ascii="Arial" w:eastAsia="Times New Roman" w:hAnsi="Arial" w:cs="Arial"/>
          <w:sz w:val="28"/>
          <w:szCs w:val="28"/>
          <w:lang w:val="en-GB"/>
        </w:rPr>
      </w:pPr>
      <w:r w:rsidRPr="003158FA">
        <w:rPr>
          <w:rFonts w:ascii="Arial" w:eastAsia="Times New Roman" w:hAnsi="Arial" w:cs="Arial"/>
          <w:b/>
          <w:bCs/>
          <w:sz w:val="28"/>
          <w:szCs w:val="28"/>
          <w:lang w:val="en-GB"/>
        </w:rPr>
        <w:lastRenderedPageBreak/>
        <w:t>Ministry of Interior</w:t>
      </w:r>
    </w:p>
    <w:p w14:paraId="5278276E" w14:textId="77777777" w:rsidR="003158FA" w:rsidRPr="003158FA" w:rsidRDefault="003158FA" w:rsidP="00913DE1">
      <w:pPr>
        <w:spacing w:before="120" w:after="0" w:line="360" w:lineRule="auto"/>
        <w:jc w:val="center"/>
        <w:rPr>
          <w:rFonts w:ascii="Arial" w:eastAsia="Times New Roman" w:hAnsi="Arial" w:cs="Arial"/>
          <w:sz w:val="28"/>
          <w:szCs w:val="28"/>
          <w:lang w:val="en-GB"/>
        </w:rPr>
      </w:pPr>
      <w:r w:rsidRPr="003158FA">
        <w:rPr>
          <w:rFonts w:ascii="Arial" w:eastAsia="Times New Roman" w:hAnsi="Arial" w:cs="Arial"/>
          <w:b/>
          <w:bCs/>
          <w:sz w:val="28"/>
          <w:szCs w:val="28"/>
          <w:lang w:val="en-GB"/>
        </w:rPr>
        <w:t>Decision No. (36) of 2022 amending some Provisions of Decision No. (196) of 2014 regarding the Fees for Services Provided by the General Directorate of Nationality, Passports and Residence Affairs</w:t>
      </w:r>
    </w:p>
    <w:p w14:paraId="668D8332" w14:textId="77777777" w:rsidR="003158FA" w:rsidRPr="003158FA" w:rsidRDefault="003158FA" w:rsidP="00913DE1">
      <w:pPr>
        <w:spacing w:before="120" w:after="0" w:line="360" w:lineRule="auto"/>
        <w:rPr>
          <w:rFonts w:ascii="Arial" w:eastAsia="Times New Roman" w:hAnsi="Arial" w:cs="Arial"/>
          <w:sz w:val="28"/>
          <w:szCs w:val="28"/>
          <w:lang w:val="en-GB" w:bidi="ar-BH"/>
        </w:rPr>
      </w:pPr>
      <w:r w:rsidRPr="003158FA">
        <w:rPr>
          <w:rFonts w:ascii="Arial" w:eastAsia="Times New Roman" w:hAnsi="Arial" w:cs="Arial"/>
          <w:sz w:val="28"/>
          <w:szCs w:val="28"/>
          <w:lang w:val="en-GB"/>
        </w:rPr>
        <w:br w:type="page"/>
      </w:r>
    </w:p>
    <w:p w14:paraId="5DEF0601" w14:textId="77777777" w:rsidR="003158FA" w:rsidRPr="003158FA" w:rsidRDefault="003158FA" w:rsidP="00913DE1">
      <w:pPr>
        <w:spacing w:before="120" w:after="0" w:line="360" w:lineRule="auto"/>
        <w:rPr>
          <w:rFonts w:ascii="Arial" w:eastAsia="Times New Roman" w:hAnsi="Arial" w:cs="Arial"/>
          <w:sz w:val="28"/>
          <w:szCs w:val="28"/>
          <w:lang w:val="en-GB"/>
        </w:rPr>
      </w:pPr>
      <w:r w:rsidRPr="003158FA">
        <w:rPr>
          <w:rFonts w:ascii="Arial" w:eastAsia="Times New Roman" w:hAnsi="Arial" w:cs="Arial"/>
          <w:sz w:val="28"/>
          <w:szCs w:val="28"/>
          <w:lang w:val="en-GB"/>
        </w:rPr>
        <w:lastRenderedPageBreak/>
        <w:t>Minister of Interior: </w:t>
      </w:r>
    </w:p>
    <w:p w14:paraId="35C64355" w14:textId="77777777" w:rsidR="003158FA" w:rsidRPr="003158FA" w:rsidRDefault="003158FA" w:rsidP="00913DE1">
      <w:pPr>
        <w:spacing w:before="120" w:after="0" w:line="360" w:lineRule="auto"/>
        <w:rPr>
          <w:rFonts w:ascii="Arial" w:eastAsia="Times New Roman" w:hAnsi="Arial" w:cs="Arial"/>
          <w:sz w:val="28"/>
          <w:szCs w:val="28"/>
          <w:lang w:val="en-GB"/>
        </w:rPr>
      </w:pPr>
      <w:r w:rsidRPr="003158FA">
        <w:rPr>
          <w:rFonts w:ascii="Arial" w:eastAsia="Times New Roman" w:hAnsi="Arial" w:cs="Arial"/>
          <w:sz w:val="28"/>
          <w:szCs w:val="28"/>
          <w:lang w:val="en-GB"/>
        </w:rPr>
        <w:t xml:space="preserve">Having reviewed the Decision No. (196) of 2014 regarding the Fees for Services provided by the General Directorate of Nationality, Passports, and Residence Affairs, as </w:t>
      </w:r>
      <w:proofErr w:type="gramStart"/>
      <w:r w:rsidRPr="003158FA">
        <w:rPr>
          <w:rFonts w:ascii="Arial" w:eastAsia="Times New Roman" w:hAnsi="Arial" w:cs="Arial"/>
          <w:sz w:val="28"/>
          <w:szCs w:val="28"/>
          <w:lang w:val="en-GB"/>
        </w:rPr>
        <w:t>amended;</w:t>
      </w:r>
      <w:proofErr w:type="gramEnd"/>
      <w:r w:rsidRPr="003158FA">
        <w:rPr>
          <w:rFonts w:ascii="Arial" w:eastAsia="Times New Roman" w:hAnsi="Arial" w:cs="Arial"/>
          <w:sz w:val="28"/>
          <w:szCs w:val="28"/>
          <w:lang w:val="en-GB"/>
        </w:rPr>
        <w:t> </w:t>
      </w:r>
    </w:p>
    <w:p w14:paraId="1211EE18" w14:textId="77777777" w:rsidR="003158FA" w:rsidRPr="003158FA" w:rsidRDefault="003158FA" w:rsidP="00913DE1">
      <w:pPr>
        <w:spacing w:before="120" w:after="0" w:line="360" w:lineRule="auto"/>
        <w:rPr>
          <w:rFonts w:ascii="Arial" w:eastAsia="Times New Roman" w:hAnsi="Arial" w:cs="Arial"/>
          <w:sz w:val="28"/>
          <w:szCs w:val="28"/>
          <w:lang w:val="en-GB"/>
        </w:rPr>
      </w:pPr>
      <w:r w:rsidRPr="003158FA">
        <w:rPr>
          <w:rFonts w:ascii="Arial" w:eastAsia="Times New Roman" w:hAnsi="Arial" w:cs="Arial"/>
          <w:sz w:val="28"/>
          <w:szCs w:val="28"/>
          <w:lang w:val="en-GB"/>
        </w:rPr>
        <w:t xml:space="preserve">Upon the submission of the Undersecretary of the Ministry for Nationality, Passports and Residence </w:t>
      </w:r>
      <w:proofErr w:type="gramStart"/>
      <w:r w:rsidRPr="003158FA">
        <w:rPr>
          <w:rFonts w:ascii="Arial" w:eastAsia="Times New Roman" w:hAnsi="Arial" w:cs="Arial"/>
          <w:sz w:val="28"/>
          <w:szCs w:val="28"/>
          <w:lang w:val="en-GB"/>
        </w:rPr>
        <w:t>Affairs;</w:t>
      </w:r>
      <w:proofErr w:type="gramEnd"/>
      <w:r w:rsidRPr="003158FA">
        <w:rPr>
          <w:rFonts w:ascii="Arial" w:eastAsia="Times New Roman" w:hAnsi="Arial" w:cs="Arial"/>
          <w:sz w:val="28"/>
          <w:szCs w:val="28"/>
          <w:lang w:val="en-GB"/>
        </w:rPr>
        <w:t> </w:t>
      </w:r>
    </w:p>
    <w:p w14:paraId="54E7DCDE" w14:textId="77777777" w:rsidR="003158FA" w:rsidRPr="003158FA" w:rsidRDefault="003158FA" w:rsidP="00913DE1">
      <w:pPr>
        <w:spacing w:before="120" w:after="0" w:line="360" w:lineRule="auto"/>
        <w:rPr>
          <w:rFonts w:ascii="Arial" w:eastAsia="Times New Roman" w:hAnsi="Arial" w:cs="Arial"/>
          <w:sz w:val="28"/>
          <w:szCs w:val="28"/>
          <w:lang w:val="en-GB"/>
        </w:rPr>
      </w:pPr>
      <w:r w:rsidRPr="003158FA">
        <w:rPr>
          <w:rFonts w:ascii="Arial" w:eastAsia="Times New Roman" w:hAnsi="Arial" w:cs="Arial"/>
          <w:sz w:val="28"/>
          <w:szCs w:val="28"/>
          <w:lang w:val="en-GB"/>
        </w:rPr>
        <w:t>And after the approval of the Council of Ministers, </w:t>
      </w:r>
    </w:p>
    <w:p w14:paraId="5E111BCB" w14:textId="77777777" w:rsidR="003158FA" w:rsidRPr="003158FA" w:rsidRDefault="003158FA" w:rsidP="00913DE1">
      <w:pPr>
        <w:spacing w:before="120" w:after="0" w:line="360" w:lineRule="auto"/>
        <w:rPr>
          <w:rFonts w:ascii="Arial" w:eastAsia="Times New Roman" w:hAnsi="Arial" w:cs="Arial"/>
          <w:sz w:val="28"/>
          <w:szCs w:val="28"/>
          <w:lang w:val="en-GB"/>
        </w:rPr>
      </w:pPr>
      <w:r w:rsidRPr="003158FA">
        <w:rPr>
          <w:rFonts w:ascii="Arial" w:eastAsia="Times New Roman" w:hAnsi="Arial" w:cs="Arial"/>
          <w:b/>
          <w:bCs/>
          <w:sz w:val="28"/>
          <w:szCs w:val="28"/>
          <w:lang w:val="en-GB"/>
        </w:rPr>
        <w:t>Hereby Decides </w:t>
      </w:r>
    </w:p>
    <w:p w14:paraId="51643135" w14:textId="77777777" w:rsidR="003158FA" w:rsidRPr="003158FA" w:rsidRDefault="003158FA" w:rsidP="00913DE1">
      <w:pPr>
        <w:spacing w:before="120" w:after="0" w:line="360" w:lineRule="auto"/>
        <w:rPr>
          <w:rFonts w:ascii="Arial" w:eastAsia="Times New Roman" w:hAnsi="Arial" w:cs="Arial"/>
          <w:sz w:val="28"/>
          <w:szCs w:val="28"/>
          <w:lang w:val="en-GB"/>
        </w:rPr>
      </w:pPr>
      <w:r w:rsidRPr="003158FA">
        <w:rPr>
          <w:rFonts w:ascii="Arial" w:eastAsia="Times New Roman" w:hAnsi="Arial" w:cs="Arial"/>
          <w:b/>
          <w:bCs/>
          <w:sz w:val="28"/>
          <w:szCs w:val="28"/>
          <w:lang w:val="en-GB"/>
        </w:rPr>
        <w:t>Article One </w:t>
      </w:r>
    </w:p>
    <w:p w14:paraId="0BC09EC4" w14:textId="77777777" w:rsidR="003158FA" w:rsidRPr="003158FA" w:rsidRDefault="003158FA" w:rsidP="00913DE1">
      <w:pPr>
        <w:spacing w:before="120" w:after="0" w:line="360" w:lineRule="auto"/>
        <w:rPr>
          <w:rFonts w:ascii="Arial" w:eastAsia="Times New Roman" w:hAnsi="Arial" w:cs="Arial"/>
          <w:sz w:val="28"/>
          <w:szCs w:val="28"/>
          <w:lang w:val="en-GB"/>
        </w:rPr>
      </w:pPr>
      <w:r w:rsidRPr="003158FA">
        <w:rPr>
          <w:rFonts w:ascii="Arial" w:eastAsia="Times New Roman" w:hAnsi="Arial" w:cs="Arial"/>
          <w:sz w:val="28"/>
          <w:szCs w:val="28"/>
          <w:lang w:val="en-GB"/>
        </w:rPr>
        <w:t>Clauses No. (42), (54) and (61) contained in the schedule attached to Decision No. (196) of 2014 regarding the Fees for Services Provided by the General Directorate of Nationality, Passports, and Residence Affairs shall be replaced with the clauses specified in Schedule (A) attached to this Decision. </w:t>
      </w:r>
    </w:p>
    <w:p w14:paraId="779776E1" w14:textId="77777777" w:rsidR="003158FA" w:rsidRPr="003158FA" w:rsidRDefault="003158FA" w:rsidP="00913DE1">
      <w:pPr>
        <w:spacing w:before="120" w:after="0" w:line="360" w:lineRule="auto"/>
        <w:rPr>
          <w:rFonts w:ascii="Arial" w:eastAsia="Times New Roman" w:hAnsi="Arial" w:cs="Arial"/>
          <w:sz w:val="28"/>
          <w:szCs w:val="28"/>
          <w:lang w:val="en-GB"/>
        </w:rPr>
      </w:pPr>
      <w:r w:rsidRPr="003158FA">
        <w:rPr>
          <w:rFonts w:ascii="Arial" w:eastAsia="Times New Roman" w:hAnsi="Arial" w:cs="Arial"/>
          <w:b/>
          <w:bCs/>
          <w:sz w:val="28"/>
          <w:szCs w:val="28"/>
          <w:lang w:val="en-GB"/>
        </w:rPr>
        <w:t>Article Two </w:t>
      </w:r>
    </w:p>
    <w:p w14:paraId="08B87FFE" w14:textId="77777777" w:rsidR="003158FA" w:rsidRPr="003158FA" w:rsidRDefault="003158FA" w:rsidP="00913DE1">
      <w:pPr>
        <w:spacing w:before="120" w:after="0" w:line="360" w:lineRule="auto"/>
        <w:rPr>
          <w:rFonts w:ascii="Arial" w:eastAsia="Times New Roman" w:hAnsi="Arial" w:cs="Arial"/>
          <w:sz w:val="28"/>
          <w:szCs w:val="28"/>
          <w:lang w:val="en-GB"/>
        </w:rPr>
      </w:pPr>
      <w:r w:rsidRPr="003158FA">
        <w:rPr>
          <w:rFonts w:ascii="Arial" w:eastAsia="Times New Roman" w:hAnsi="Arial" w:cs="Arial"/>
          <w:sz w:val="28"/>
          <w:szCs w:val="28"/>
          <w:lang w:val="en-GB"/>
        </w:rPr>
        <w:t>Two new clause No. (67) and (68) shall be added to the schedule attached to Decision No. (196) of 2014 regarding the Fees for Services Provided by the General Directorate of Nationality, Passports and Residence Affairs, whose texts are specified in Schedule (B) attached to this Decision. </w:t>
      </w:r>
    </w:p>
    <w:p w14:paraId="2912D644" w14:textId="77777777" w:rsidR="003158FA" w:rsidRPr="003158FA" w:rsidRDefault="003158FA" w:rsidP="00913DE1">
      <w:pPr>
        <w:spacing w:before="120" w:after="0" w:line="360" w:lineRule="auto"/>
        <w:rPr>
          <w:rFonts w:ascii="Arial" w:eastAsia="Times New Roman" w:hAnsi="Arial" w:cs="Arial"/>
          <w:sz w:val="28"/>
          <w:szCs w:val="28"/>
          <w:lang w:val="en-GB"/>
        </w:rPr>
      </w:pPr>
      <w:r w:rsidRPr="003158FA">
        <w:rPr>
          <w:rFonts w:ascii="Arial" w:eastAsia="Times New Roman" w:hAnsi="Arial" w:cs="Arial"/>
          <w:b/>
          <w:bCs/>
          <w:sz w:val="28"/>
          <w:szCs w:val="28"/>
          <w:lang w:val="en-GB"/>
        </w:rPr>
        <w:t>Article Three </w:t>
      </w:r>
    </w:p>
    <w:p w14:paraId="52B2C1DF" w14:textId="77777777" w:rsidR="003158FA" w:rsidRPr="003158FA" w:rsidRDefault="003158FA" w:rsidP="00913DE1">
      <w:pPr>
        <w:spacing w:before="120" w:after="0" w:line="360" w:lineRule="auto"/>
        <w:rPr>
          <w:rFonts w:ascii="Arial" w:eastAsia="Times New Roman" w:hAnsi="Arial" w:cs="Arial"/>
          <w:sz w:val="28"/>
          <w:szCs w:val="28"/>
          <w:lang w:val="en-GB"/>
        </w:rPr>
      </w:pPr>
      <w:r w:rsidRPr="003158FA">
        <w:rPr>
          <w:rFonts w:ascii="Arial" w:eastAsia="Times New Roman" w:hAnsi="Arial" w:cs="Arial"/>
          <w:sz w:val="28"/>
          <w:szCs w:val="28"/>
          <w:lang w:val="en-GB"/>
        </w:rPr>
        <w:t>The Undersecretary of the Ministry for Nationality, Passports and Residence Affairs shall implement the provisions of this Decision, and it shall come into force from the day following the date of its publication in the Official Gazette. </w:t>
      </w:r>
    </w:p>
    <w:p w14:paraId="2EC479AE" w14:textId="77777777" w:rsidR="003158FA" w:rsidRPr="003158FA" w:rsidRDefault="003158FA" w:rsidP="00913DE1">
      <w:pPr>
        <w:spacing w:before="120" w:after="0" w:line="360" w:lineRule="auto"/>
        <w:rPr>
          <w:rFonts w:ascii="Arial" w:eastAsia="Times New Roman" w:hAnsi="Arial" w:cs="Arial"/>
          <w:sz w:val="28"/>
          <w:szCs w:val="28"/>
          <w:lang w:val="en-GB"/>
        </w:rPr>
      </w:pPr>
      <w:r w:rsidRPr="003158FA">
        <w:rPr>
          <w:rFonts w:ascii="Arial" w:eastAsia="Times New Roman" w:hAnsi="Arial" w:cs="Arial"/>
          <w:b/>
          <w:bCs/>
          <w:sz w:val="28"/>
          <w:szCs w:val="28"/>
          <w:lang w:val="en-GB"/>
        </w:rPr>
        <w:t>Minister of Interior </w:t>
      </w:r>
    </w:p>
    <w:p w14:paraId="427CD0BE" w14:textId="77777777" w:rsidR="003158FA" w:rsidRPr="003158FA" w:rsidRDefault="003158FA" w:rsidP="00913DE1">
      <w:pPr>
        <w:spacing w:before="120" w:after="0" w:line="360" w:lineRule="auto"/>
        <w:rPr>
          <w:rFonts w:ascii="Arial" w:eastAsia="Times New Roman" w:hAnsi="Arial" w:cs="Arial"/>
          <w:sz w:val="28"/>
          <w:szCs w:val="28"/>
          <w:lang w:val="en-GB"/>
        </w:rPr>
      </w:pPr>
      <w:r w:rsidRPr="003158FA">
        <w:rPr>
          <w:rFonts w:ascii="Arial" w:eastAsia="Times New Roman" w:hAnsi="Arial" w:cs="Arial"/>
          <w:b/>
          <w:bCs/>
          <w:sz w:val="28"/>
          <w:szCs w:val="28"/>
          <w:lang w:val="en-GB"/>
        </w:rPr>
        <w:lastRenderedPageBreak/>
        <w:t>Lieutenant General </w:t>
      </w:r>
    </w:p>
    <w:p w14:paraId="4960DC45" w14:textId="77777777" w:rsidR="003158FA" w:rsidRPr="003158FA" w:rsidRDefault="003158FA" w:rsidP="00913DE1">
      <w:pPr>
        <w:spacing w:before="120" w:after="0" w:line="360" w:lineRule="auto"/>
        <w:rPr>
          <w:rFonts w:ascii="Arial" w:eastAsia="Times New Roman" w:hAnsi="Arial" w:cs="Arial"/>
          <w:sz w:val="28"/>
          <w:szCs w:val="28"/>
          <w:lang w:val="en-GB"/>
        </w:rPr>
      </w:pPr>
      <w:r w:rsidRPr="003158FA">
        <w:rPr>
          <w:rFonts w:ascii="Arial" w:eastAsia="Times New Roman" w:hAnsi="Arial" w:cs="Arial"/>
          <w:b/>
          <w:bCs/>
          <w:sz w:val="28"/>
          <w:szCs w:val="28"/>
          <w:lang w:val="en-GB"/>
        </w:rPr>
        <w:t>Rashid bin Abdullah Al Khalifa </w:t>
      </w:r>
    </w:p>
    <w:p w14:paraId="23EF1557" w14:textId="77777777" w:rsidR="003158FA" w:rsidRPr="003158FA" w:rsidRDefault="003158FA" w:rsidP="00913DE1">
      <w:pPr>
        <w:spacing w:before="120" w:after="0" w:line="360" w:lineRule="auto"/>
        <w:rPr>
          <w:rFonts w:ascii="Arial" w:eastAsia="Times New Roman" w:hAnsi="Arial" w:cs="Arial"/>
          <w:sz w:val="28"/>
          <w:szCs w:val="28"/>
          <w:lang w:val="en-GB"/>
        </w:rPr>
      </w:pPr>
      <w:r w:rsidRPr="003158FA">
        <w:rPr>
          <w:rFonts w:ascii="Arial" w:eastAsia="Times New Roman" w:hAnsi="Arial" w:cs="Arial"/>
          <w:sz w:val="28"/>
          <w:szCs w:val="28"/>
          <w:lang w:val="en-GB"/>
        </w:rPr>
        <w:t>Issued On: 11 Shaaban 1443 A.H. </w:t>
      </w:r>
    </w:p>
    <w:p w14:paraId="26126F04" w14:textId="77777777" w:rsidR="003158FA" w:rsidRPr="003158FA" w:rsidRDefault="003158FA" w:rsidP="00913DE1">
      <w:pPr>
        <w:spacing w:before="120" w:after="0" w:line="360" w:lineRule="auto"/>
        <w:rPr>
          <w:rFonts w:ascii="Arial" w:eastAsia="Times New Roman" w:hAnsi="Arial" w:cs="Arial"/>
          <w:sz w:val="28"/>
          <w:szCs w:val="28"/>
          <w:lang w:val="en-GB"/>
        </w:rPr>
      </w:pPr>
      <w:r w:rsidRPr="003158FA">
        <w:rPr>
          <w:rFonts w:ascii="Arial" w:eastAsia="Times New Roman" w:hAnsi="Arial" w:cs="Arial"/>
          <w:sz w:val="28"/>
          <w:szCs w:val="28"/>
          <w:lang w:val="en-GB"/>
        </w:rPr>
        <w:t>Corresponding to: 14 March 2022 </w:t>
      </w:r>
    </w:p>
    <w:p w14:paraId="2C39C013" w14:textId="77777777" w:rsidR="003158FA" w:rsidRPr="003158FA" w:rsidRDefault="003158FA" w:rsidP="00913DE1">
      <w:pPr>
        <w:spacing w:before="120" w:after="0" w:line="360" w:lineRule="auto"/>
        <w:rPr>
          <w:rFonts w:ascii="Arial" w:eastAsia="Times New Roman" w:hAnsi="Arial" w:cs="Arial"/>
          <w:sz w:val="28"/>
          <w:szCs w:val="28"/>
          <w:lang w:val="en-GB"/>
        </w:rPr>
      </w:pPr>
      <w:r w:rsidRPr="003158FA">
        <w:rPr>
          <w:rFonts w:ascii="Arial" w:eastAsia="Times New Roman" w:hAnsi="Arial" w:cs="Arial"/>
          <w:b/>
          <w:bCs/>
          <w:sz w:val="28"/>
          <w:szCs w:val="28"/>
          <w:lang w:val="en-GB"/>
        </w:rPr>
        <w:t>Schedule (A) </w:t>
      </w:r>
    </w:p>
    <w:tbl>
      <w:tblPr>
        <w:tblStyle w:val="TableGrid"/>
        <w:tblW w:w="9919" w:type="dxa"/>
        <w:tblInd w:w="0" w:type="dxa"/>
        <w:tblLook w:val="04A0" w:firstRow="1" w:lastRow="0" w:firstColumn="1" w:lastColumn="0" w:noHBand="0" w:noVBand="1"/>
      </w:tblPr>
      <w:tblGrid>
        <w:gridCol w:w="704"/>
        <w:gridCol w:w="7229"/>
        <w:gridCol w:w="993"/>
        <w:gridCol w:w="993"/>
      </w:tblGrid>
      <w:tr w:rsidR="00FF12D7" w:rsidRPr="00FF12D7" w14:paraId="01149060" w14:textId="77777777" w:rsidTr="00FF12D7">
        <w:tc>
          <w:tcPr>
            <w:tcW w:w="704" w:type="dxa"/>
          </w:tcPr>
          <w:p w14:paraId="3DC38C8F" w14:textId="1FCF7351" w:rsidR="00FF12D7" w:rsidRPr="00FF12D7" w:rsidRDefault="00FF12D7" w:rsidP="00FF12D7">
            <w:pPr>
              <w:spacing w:before="120" w:after="0" w:line="360" w:lineRule="auto"/>
              <w:jc w:val="center"/>
              <w:rPr>
                <w:rFonts w:ascii="Arial" w:eastAsia="Times New Roman" w:hAnsi="Arial" w:cs="Arial"/>
                <w:b/>
                <w:bCs/>
                <w:sz w:val="28"/>
                <w:szCs w:val="28"/>
                <w:lang w:val="en-GB"/>
              </w:rPr>
            </w:pPr>
            <w:r w:rsidRPr="00FF12D7">
              <w:rPr>
                <w:rFonts w:ascii="Arial" w:eastAsia="Times New Roman" w:hAnsi="Arial" w:cs="Arial"/>
                <w:b/>
                <w:bCs/>
                <w:sz w:val="28"/>
                <w:szCs w:val="28"/>
                <w:lang w:val="en-GB"/>
              </w:rPr>
              <w:t>c</w:t>
            </w:r>
          </w:p>
        </w:tc>
        <w:tc>
          <w:tcPr>
            <w:tcW w:w="7229" w:type="dxa"/>
          </w:tcPr>
          <w:p w14:paraId="11F42477" w14:textId="7487BD4B" w:rsidR="00FF12D7" w:rsidRPr="00FF12D7" w:rsidRDefault="00FF12D7" w:rsidP="00FF12D7">
            <w:pPr>
              <w:spacing w:before="120" w:after="0" w:line="360" w:lineRule="auto"/>
              <w:jc w:val="center"/>
              <w:rPr>
                <w:rFonts w:ascii="Arial" w:eastAsia="Times New Roman" w:hAnsi="Arial" w:cs="Arial"/>
                <w:b/>
                <w:bCs/>
                <w:sz w:val="28"/>
                <w:szCs w:val="28"/>
                <w:lang w:val="en-GB"/>
              </w:rPr>
            </w:pPr>
            <w:r w:rsidRPr="00FF12D7">
              <w:rPr>
                <w:rFonts w:ascii="Arial" w:eastAsia="Times New Roman" w:hAnsi="Arial" w:cs="Arial"/>
                <w:b/>
                <w:bCs/>
                <w:sz w:val="28"/>
                <w:szCs w:val="28"/>
                <w:lang w:val="en-GB"/>
              </w:rPr>
              <w:t>Service</w:t>
            </w:r>
          </w:p>
        </w:tc>
        <w:tc>
          <w:tcPr>
            <w:tcW w:w="993" w:type="dxa"/>
          </w:tcPr>
          <w:p w14:paraId="1897FA1B" w14:textId="1675E268" w:rsidR="00FF12D7" w:rsidRPr="00FF12D7" w:rsidRDefault="00FF12D7" w:rsidP="00FF12D7">
            <w:pPr>
              <w:spacing w:before="120" w:after="0" w:line="360" w:lineRule="auto"/>
              <w:jc w:val="center"/>
              <w:rPr>
                <w:rFonts w:ascii="Arial" w:eastAsia="Times New Roman" w:hAnsi="Arial" w:cs="Arial"/>
                <w:b/>
                <w:bCs/>
                <w:sz w:val="28"/>
                <w:szCs w:val="28"/>
                <w:lang w:val="en-GB"/>
              </w:rPr>
            </w:pPr>
            <w:r w:rsidRPr="00FF12D7">
              <w:rPr>
                <w:rFonts w:ascii="Arial" w:eastAsia="Times New Roman" w:hAnsi="Arial" w:cs="Arial"/>
                <w:b/>
                <w:bCs/>
                <w:sz w:val="28"/>
                <w:szCs w:val="28"/>
                <w:lang w:val="en-GB"/>
              </w:rPr>
              <w:t>Dinar</w:t>
            </w:r>
          </w:p>
        </w:tc>
        <w:tc>
          <w:tcPr>
            <w:tcW w:w="993" w:type="dxa"/>
          </w:tcPr>
          <w:p w14:paraId="5E27ACE4" w14:textId="437B6282" w:rsidR="00FF12D7" w:rsidRPr="00FF12D7" w:rsidRDefault="00FF12D7" w:rsidP="00FF12D7">
            <w:pPr>
              <w:spacing w:before="120" w:after="0" w:line="360" w:lineRule="auto"/>
              <w:jc w:val="center"/>
              <w:rPr>
                <w:rFonts w:ascii="Arial" w:eastAsia="Times New Roman" w:hAnsi="Arial" w:cs="Arial"/>
                <w:b/>
                <w:bCs/>
                <w:sz w:val="28"/>
                <w:szCs w:val="28"/>
                <w:lang w:val="en-GB"/>
              </w:rPr>
            </w:pPr>
            <w:r w:rsidRPr="00FF12D7">
              <w:rPr>
                <w:rFonts w:ascii="Arial" w:eastAsia="Times New Roman" w:hAnsi="Arial" w:cs="Arial"/>
                <w:b/>
                <w:bCs/>
                <w:sz w:val="28"/>
                <w:szCs w:val="28"/>
                <w:lang w:val="en-GB"/>
              </w:rPr>
              <w:t>Fils</w:t>
            </w:r>
          </w:p>
        </w:tc>
      </w:tr>
      <w:tr w:rsidR="00FF12D7" w:rsidRPr="00FF12D7" w14:paraId="187FB8CC" w14:textId="77777777" w:rsidTr="00FF12D7">
        <w:tc>
          <w:tcPr>
            <w:tcW w:w="704" w:type="dxa"/>
          </w:tcPr>
          <w:p w14:paraId="0CF35EF0" w14:textId="77777777" w:rsidR="00FF12D7" w:rsidRPr="00FF12D7" w:rsidRDefault="00FF12D7" w:rsidP="00FF12D7">
            <w:pPr>
              <w:spacing w:before="120" w:after="0" w:line="360" w:lineRule="auto"/>
              <w:rPr>
                <w:rFonts w:ascii="Arial" w:eastAsia="Times New Roman" w:hAnsi="Arial" w:cs="Arial"/>
                <w:sz w:val="28"/>
                <w:szCs w:val="28"/>
                <w:lang w:val="en-GB"/>
              </w:rPr>
            </w:pPr>
            <w:r w:rsidRPr="00FF12D7">
              <w:rPr>
                <w:rFonts w:ascii="Arial" w:eastAsia="Times New Roman" w:hAnsi="Arial" w:cs="Arial"/>
                <w:sz w:val="28"/>
                <w:szCs w:val="28"/>
                <w:lang w:val="en-GB"/>
              </w:rPr>
              <w:t>42 </w:t>
            </w:r>
          </w:p>
        </w:tc>
        <w:tc>
          <w:tcPr>
            <w:tcW w:w="7229" w:type="dxa"/>
          </w:tcPr>
          <w:p w14:paraId="6F8DC92B" w14:textId="77777777" w:rsidR="00FF12D7" w:rsidRPr="00FF12D7" w:rsidRDefault="00FF12D7" w:rsidP="00FF12D7">
            <w:pPr>
              <w:spacing w:before="120" w:after="0" w:line="360" w:lineRule="auto"/>
              <w:rPr>
                <w:rFonts w:ascii="Arial" w:eastAsia="Times New Roman" w:hAnsi="Arial" w:cs="Arial"/>
                <w:sz w:val="28"/>
                <w:szCs w:val="28"/>
                <w:lang w:val="en-GB"/>
              </w:rPr>
            </w:pPr>
            <w:r w:rsidRPr="00FF12D7">
              <w:rPr>
                <w:rFonts w:ascii="Arial" w:eastAsia="Times New Roman" w:hAnsi="Arial" w:cs="Arial"/>
                <w:sz w:val="28"/>
                <w:szCs w:val="28"/>
                <w:lang w:val="en-GB"/>
              </w:rPr>
              <w:t>Issuing a multiple-entry tourist visa for a duration of three months from the date of entry, allowing the holder to stay in the country for one month each time. This visa can be obtained instantly through ports of entry, electronically through the Directorate, or through the embassies of the Kingdom of Bahrain for citizens of countries that have an agreement or for residents of the Cooperation Council for the Arab States of the Gulf. </w:t>
            </w:r>
          </w:p>
        </w:tc>
        <w:tc>
          <w:tcPr>
            <w:tcW w:w="993" w:type="dxa"/>
          </w:tcPr>
          <w:p w14:paraId="78970AB8" w14:textId="26219437" w:rsidR="00FF12D7" w:rsidRPr="00FF12D7" w:rsidRDefault="00FF12D7" w:rsidP="00FF12D7">
            <w:pPr>
              <w:spacing w:before="120" w:after="0" w:line="360" w:lineRule="auto"/>
              <w:rPr>
                <w:rFonts w:ascii="Arial" w:eastAsia="Times New Roman" w:hAnsi="Arial" w:cs="Arial"/>
                <w:sz w:val="28"/>
                <w:szCs w:val="28"/>
                <w:lang w:val="en-GB"/>
              </w:rPr>
            </w:pPr>
            <w:r w:rsidRPr="00FF12D7">
              <w:rPr>
                <w:rFonts w:ascii="Arial" w:eastAsia="Times New Roman" w:hAnsi="Arial" w:cs="Arial"/>
                <w:sz w:val="28"/>
                <w:szCs w:val="28"/>
                <w:lang w:val="en-GB"/>
              </w:rPr>
              <w:t>12 </w:t>
            </w:r>
          </w:p>
        </w:tc>
        <w:tc>
          <w:tcPr>
            <w:tcW w:w="993" w:type="dxa"/>
          </w:tcPr>
          <w:p w14:paraId="2D6B73DD" w14:textId="1962A66B" w:rsidR="00FF12D7" w:rsidRPr="00FF12D7" w:rsidRDefault="00FF12D7" w:rsidP="00FF12D7">
            <w:pPr>
              <w:spacing w:before="120" w:after="0" w:line="360" w:lineRule="auto"/>
              <w:rPr>
                <w:rFonts w:ascii="Arial" w:eastAsia="Times New Roman" w:hAnsi="Arial" w:cs="Arial"/>
                <w:sz w:val="28"/>
                <w:szCs w:val="28"/>
                <w:lang w:val="en-GB"/>
              </w:rPr>
            </w:pPr>
            <w:r w:rsidRPr="00FF12D7">
              <w:rPr>
                <w:rFonts w:ascii="Arial" w:eastAsia="Times New Roman" w:hAnsi="Arial" w:cs="Arial"/>
                <w:sz w:val="28"/>
                <w:szCs w:val="28"/>
                <w:lang w:val="en-GB"/>
              </w:rPr>
              <w:t>- </w:t>
            </w:r>
          </w:p>
        </w:tc>
      </w:tr>
      <w:tr w:rsidR="00FF12D7" w:rsidRPr="00FF12D7" w14:paraId="37180F1D" w14:textId="77777777" w:rsidTr="00FF12D7">
        <w:tc>
          <w:tcPr>
            <w:tcW w:w="704" w:type="dxa"/>
          </w:tcPr>
          <w:p w14:paraId="76E13AA7" w14:textId="77777777" w:rsidR="00FF12D7" w:rsidRPr="00FF12D7" w:rsidRDefault="00FF12D7" w:rsidP="00FF12D7">
            <w:pPr>
              <w:spacing w:before="120" w:after="0" w:line="360" w:lineRule="auto"/>
              <w:rPr>
                <w:rFonts w:ascii="Arial" w:eastAsia="Times New Roman" w:hAnsi="Arial" w:cs="Arial"/>
                <w:sz w:val="28"/>
                <w:szCs w:val="28"/>
                <w:lang w:val="en-GB"/>
              </w:rPr>
            </w:pPr>
            <w:r w:rsidRPr="00FF12D7">
              <w:rPr>
                <w:rFonts w:ascii="Arial" w:eastAsia="Times New Roman" w:hAnsi="Arial" w:cs="Arial"/>
                <w:sz w:val="28"/>
                <w:szCs w:val="28"/>
                <w:lang w:val="en-GB"/>
              </w:rPr>
              <w:t>54 </w:t>
            </w:r>
          </w:p>
        </w:tc>
        <w:tc>
          <w:tcPr>
            <w:tcW w:w="7229" w:type="dxa"/>
          </w:tcPr>
          <w:p w14:paraId="399422FC" w14:textId="77777777" w:rsidR="00FF12D7" w:rsidRPr="00FF12D7" w:rsidRDefault="00FF12D7" w:rsidP="00FF12D7">
            <w:pPr>
              <w:spacing w:before="120" w:after="0" w:line="360" w:lineRule="auto"/>
              <w:rPr>
                <w:rFonts w:ascii="Arial" w:eastAsia="Times New Roman" w:hAnsi="Arial" w:cs="Arial"/>
                <w:sz w:val="28"/>
                <w:szCs w:val="28"/>
                <w:lang w:val="en-GB"/>
              </w:rPr>
            </w:pPr>
            <w:r w:rsidRPr="00FF12D7">
              <w:rPr>
                <w:rFonts w:ascii="Arial" w:eastAsia="Times New Roman" w:hAnsi="Arial" w:cs="Arial"/>
                <w:sz w:val="28"/>
                <w:szCs w:val="28"/>
                <w:lang w:val="en-GB"/>
              </w:rPr>
              <w:t>Issuing a multiple-entry business visa valid for three months from the date of entry, allowing the holder to stay in the country for three months each time. This can be done through the Directorate or the embassies of the Kingdom of Bahrain. </w:t>
            </w:r>
          </w:p>
        </w:tc>
        <w:tc>
          <w:tcPr>
            <w:tcW w:w="993" w:type="dxa"/>
          </w:tcPr>
          <w:p w14:paraId="23D67348" w14:textId="713FBAEC" w:rsidR="00FF12D7" w:rsidRPr="00FF12D7" w:rsidRDefault="00FF12D7" w:rsidP="00FF12D7">
            <w:pPr>
              <w:spacing w:before="120" w:after="0" w:line="360" w:lineRule="auto"/>
              <w:rPr>
                <w:rFonts w:ascii="Arial" w:eastAsia="Times New Roman" w:hAnsi="Arial" w:cs="Arial"/>
                <w:sz w:val="28"/>
                <w:szCs w:val="28"/>
                <w:lang w:val="en-GB"/>
              </w:rPr>
            </w:pPr>
            <w:r w:rsidRPr="00FF12D7">
              <w:rPr>
                <w:rFonts w:ascii="Arial" w:eastAsia="Times New Roman" w:hAnsi="Arial" w:cs="Arial"/>
                <w:sz w:val="28"/>
                <w:szCs w:val="28"/>
                <w:lang w:val="en-GB"/>
              </w:rPr>
              <w:t>12 </w:t>
            </w:r>
          </w:p>
        </w:tc>
        <w:tc>
          <w:tcPr>
            <w:tcW w:w="993" w:type="dxa"/>
          </w:tcPr>
          <w:p w14:paraId="030F0361" w14:textId="5583295B" w:rsidR="00FF12D7" w:rsidRPr="00FF12D7" w:rsidRDefault="00FF12D7" w:rsidP="00FF12D7">
            <w:pPr>
              <w:spacing w:before="120" w:after="0" w:line="360" w:lineRule="auto"/>
              <w:rPr>
                <w:rFonts w:ascii="Arial" w:eastAsia="Times New Roman" w:hAnsi="Arial" w:cs="Arial"/>
                <w:sz w:val="28"/>
                <w:szCs w:val="28"/>
                <w:lang w:val="en-GB"/>
              </w:rPr>
            </w:pPr>
            <w:r w:rsidRPr="00FF12D7">
              <w:rPr>
                <w:rFonts w:ascii="Arial" w:eastAsia="Times New Roman" w:hAnsi="Arial" w:cs="Arial"/>
                <w:sz w:val="28"/>
                <w:szCs w:val="28"/>
                <w:lang w:val="en-GB"/>
              </w:rPr>
              <w:t>- </w:t>
            </w:r>
          </w:p>
        </w:tc>
      </w:tr>
      <w:tr w:rsidR="00FF12D7" w:rsidRPr="00FF12D7" w14:paraId="21B05F82" w14:textId="77777777" w:rsidTr="00FF12D7">
        <w:tc>
          <w:tcPr>
            <w:tcW w:w="704" w:type="dxa"/>
          </w:tcPr>
          <w:p w14:paraId="31089FFB" w14:textId="77777777" w:rsidR="00FF12D7" w:rsidRPr="00FF12D7" w:rsidRDefault="00FF12D7" w:rsidP="00FF12D7">
            <w:pPr>
              <w:spacing w:before="120" w:after="0" w:line="360" w:lineRule="auto"/>
              <w:rPr>
                <w:rFonts w:ascii="Arial" w:eastAsia="Times New Roman" w:hAnsi="Arial" w:cs="Arial"/>
                <w:sz w:val="28"/>
                <w:szCs w:val="28"/>
                <w:lang w:val="en-GB"/>
              </w:rPr>
            </w:pPr>
            <w:r w:rsidRPr="00FF12D7">
              <w:rPr>
                <w:rFonts w:ascii="Arial" w:eastAsia="Times New Roman" w:hAnsi="Arial" w:cs="Arial"/>
                <w:sz w:val="28"/>
                <w:szCs w:val="28"/>
                <w:lang w:val="en-GB"/>
              </w:rPr>
              <w:t>61 </w:t>
            </w:r>
          </w:p>
        </w:tc>
        <w:tc>
          <w:tcPr>
            <w:tcW w:w="7229" w:type="dxa"/>
          </w:tcPr>
          <w:p w14:paraId="32EE2EDC" w14:textId="77777777" w:rsidR="00FF12D7" w:rsidRPr="00FF12D7" w:rsidRDefault="00FF12D7" w:rsidP="00FF12D7">
            <w:pPr>
              <w:spacing w:before="120" w:after="0" w:line="360" w:lineRule="auto"/>
              <w:rPr>
                <w:rFonts w:ascii="Arial" w:eastAsia="Times New Roman" w:hAnsi="Arial" w:cs="Arial"/>
                <w:sz w:val="28"/>
                <w:szCs w:val="28"/>
                <w:lang w:val="en-GB"/>
              </w:rPr>
            </w:pPr>
            <w:r w:rsidRPr="00FF12D7">
              <w:rPr>
                <w:rFonts w:ascii="Arial" w:eastAsia="Times New Roman" w:hAnsi="Arial" w:cs="Arial"/>
                <w:sz w:val="28"/>
                <w:szCs w:val="28"/>
                <w:lang w:val="en-GB"/>
              </w:rPr>
              <w:t>Issuing a multiple-entry electronic visa for visitors from the Cooperation Council for the Arab States of the Gulf, valid for one month from the date of entry, allowing the holder to stay in the country for two weeks each time. This can be done through the Directorate. </w:t>
            </w:r>
          </w:p>
        </w:tc>
        <w:tc>
          <w:tcPr>
            <w:tcW w:w="993" w:type="dxa"/>
          </w:tcPr>
          <w:p w14:paraId="37D82F18" w14:textId="34F2F1BC" w:rsidR="00FF12D7" w:rsidRPr="00FF12D7" w:rsidRDefault="00FF12D7" w:rsidP="00FF12D7">
            <w:pPr>
              <w:spacing w:before="120" w:after="0" w:line="360" w:lineRule="auto"/>
              <w:rPr>
                <w:rFonts w:ascii="Arial" w:eastAsia="Times New Roman" w:hAnsi="Arial" w:cs="Arial"/>
                <w:sz w:val="28"/>
                <w:szCs w:val="28"/>
                <w:lang w:val="en-GB"/>
              </w:rPr>
            </w:pPr>
            <w:r w:rsidRPr="00FF12D7">
              <w:rPr>
                <w:rFonts w:ascii="Arial" w:eastAsia="Times New Roman" w:hAnsi="Arial" w:cs="Arial"/>
                <w:sz w:val="28"/>
                <w:szCs w:val="28"/>
                <w:lang w:val="en-GB"/>
              </w:rPr>
              <w:t>12 </w:t>
            </w:r>
          </w:p>
        </w:tc>
        <w:tc>
          <w:tcPr>
            <w:tcW w:w="993" w:type="dxa"/>
          </w:tcPr>
          <w:p w14:paraId="76887D1E" w14:textId="75116838" w:rsidR="00FF12D7" w:rsidRPr="00FF12D7" w:rsidRDefault="00FF12D7" w:rsidP="00FF12D7">
            <w:pPr>
              <w:spacing w:before="120" w:after="0" w:line="360" w:lineRule="auto"/>
              <w:rPr>
                <w:rFonts w:ascii="Arial" w:eastAsia="Times New Roman" w:hAnsi="Arial" w:cs="Arial"/>
                <w:sz w:val="28"/>
                <w:szCs w:val="28"/>
                <w:lang w:val="en-GB"/>
              </w:rPr>
            </w:pPr>
            <w:r w:rsidRPr="00FF12D7">
              <w:rPr>
                <w:rFonts w:ascii="Arial" w:eastAsia="Times New Roman" w:hAnsi="Arial" w:cs="Arial"/>
                <w:sz w:val="28"/>
                <w:szCs w:val="28"/>
                <w:lang w:val="en-GB"/>
              </w:rPr>
              <w:t>- </w:t>
            </w:r>
          </w:p>
        </w:tc>
      </w:tr>
    </w:tbl>
    <w:p w14:paraId="4E63ED8F" w14:textId="77777777" w:rsidR="00FF12D7" w:rsidRDefault="00FF12D7" w:rsidP="00913DE1">
      <w:pPr>
        <w:spacing w:before="120" w:after="0" w:line="360" w:lineRule="auto"/>
        <w:rPr>
          <w:rFonts w:ascii="Arial" w:eastAsia="Times New Roman" w:hAnsi="Arial" w:cs="Arial"/>
          <w:b/>
          <w:bCs/>
          <w:sz w:val="28"/>
          <w:szCs w:val="28"/>
          <w:lang w:val="en-GB"/>
        </w:rPr>
      </w:pPr>
    </w:p>
    <w:p w14:paraId="319442B2" w14:textId="77777777" w:rsidR="00FF12D7" w:rsidRDefault="00FF12D7">
      <w:pPr>
        <w:spacing w:after="0" w:line="240" w:lineRule="auto"/>
        <w:rPr>
          <w:rFonts w:ascii="Arial" w:eastAsia="Times New Roman" w:hAnsi="Arial" w:cs="Arial"/>
          <w:b/>
          <w:bCs/>
          <w:sz w:val="28"/>
          <w:szCs w:val="28"/>
          <w:lang w:val="en-GB"/>
        </w:rPr>
      </w:pPr>
      <w:r>
        <w:rPr>
          <w:rFonts w:ascii="Arial" w:eastAsia="Times New Roman" w:hAnsi="Arial" w:cs="Arial"/>
          <w:b/>
          <w:bCs/>
          <w:sz w:val="28"/>
          <w:szCs w:val="28"/>
          <w:lang w:val="en-GB"/>
        </w:rPr>
        <w:br w:type="page"/>
      </w:r>
    </w:p>
    <w:p w14:paraId="1CBA745A" w14:textId="6A9D5A0B" w:rsidR="003158FA" w:rsidRPr="003158FA" w:rsidRDefault="003158FA" w:rsidP="00913DE1">
      <w:pPr>
        <w:spacing w:before="120" w:after="0" w:line="360" w:lineRule="auto"/>
        <w:rPr>
          <w:rFonts w:ascii="Arial" w:eastAsia="Times New Roman" w:hAnsi="Arial" w:cs="Arial"/>
          <w:sz w:val="28"/>
          <w:szCs w:val="28"/>
          <w:lang w:val="en-GB"/>
        </w:rPr>
      </w:pPr>
      <w:r w:rsidRPr="003158FA">
        <w:rPr>
          <w:rFonts w:ascii="Arial" w:eastAsia="Times New Roman" w:hAnsi="Arial" w:cs="Arial"/>
          <w:b/>
          <w:bCs/>
          <w:sz w:val="28"/>
          <w:szCs w:val="28"/>
          <w:lang w:val="en-GB"/>
        </w:rPr>
        <w:lastRenderedPageBreak/>
        <w:t>Schedule (B) </w:t>
      </w:r>
    </w:p>
    <w:tbl>
      <w:tblPr>
        <w:tblStyle w:val="TableGrid"/>
        <w:tblW w:w="9919" w:type="dxa"/>
        <w:tblInd w:w="0" w:type="dxa"/>
        <w:tblLook w:val="04A0" w:firstRow="1" w:lastRow="0" w:firstColumn="1" w:lastColumn="0" w:noHBand="0" w:noVBand="1"/>
      </w:tblPr>
      <w:tblGrid>
        <w:gridCol w:w="606"/>
        <w:gridCol w:w="7327"/>
        <w:gridCol w:w="993"/>
        <w:gridCol w:w="993"/>
      </w:tblGrid>
      <w:tr w:rsidR="00FF12D7" w:rsidRPr="00FF12D7" w14:paraId="04C999ED" w14:textId="77777777" w:rsidTr="00FF12D7">
        <w:tc>
          <w:tcPr>
            <w:tcW w:w="606" w:type="dxa"/>
          </w:tcPr>
          <w:p w14:paraId="4F92923D" w14:textId="27BD201D" w:rsidR="00FF12D7" w:rsidRPr="00FF12D7" w:rsidRDefault="00FF12D7" w:rsidP="00FF12D7">
            <w:pPr>
              <w:spacing w:before="120" w:after="0" w:line="360" w:lineRule="auto"/>
              <w:jc w:val="center"/>
              <w:rPr>
                <w:rFonts w:ascii="Arial" w:eastAsia="Times New Roman" w:hAnsi="Arial" w:cs="Arial"/>
                <w:b/>
                <w:bCs/>
                <w:sz w:val="28"/>
                <w:szCs w:val="28"/>
                <w:lang w:val="en-GB"/>
              </w:rPr>
            </w:pPr>
            <w:r w:rsidRPr="00FF12D7">
              <w:rPr>
                <w:rFonts w:ascii="Arial" w:eastAsia="Times New Roman" w:hAnsi="Arial" w:cs="Arial"/>
                <w:b/>
                <w:bCs/>
                <w:sz w:val="28"/>
                <w:szCs w:val="28"/>
                <w:lang w:val="en-GB"/>
              </w:rPr>
              <w:t>v</w:t>
            </w:r>
          </w:p>
        </w:tc>
        <w:tc>
          <w:tcPr>
            <w:tcW w:w="7327" w:type="dxa"/>
          </w:tcPr>
          <w:p w14:paraId="45011629" w14:textId="1D85B9E0" w:rsidR="00FF12D7" w:rsidRPr="00FF12D7" w:rsidRDefault="00FF12D7" w:rsidP="00FF12D7">
            <w:pPr>
              <w:spacing w:before="120" w:after="0" w:line="360" w:lineRule="auto"/>
              <w:jc w:val="center"/>
              <w:rPr>
                <w:rFonts w:ascii="Arial" w:eastAsia="Times New Roman" w:hAnsi="Arial" w:cs="Arial"/>
                <w:b/>
                <w:bCs/>
                <w:sz w:val="28"/>
                <w:szCs w:val="28"/>
                <w:lang w:val="en-GB"/>
              </w:rPr>
            </w:pPr>
            <w:r w:rsidRPr="00FF12D7">
              <w:rPr>
                <w:rFonts w:ascii="Arial" w:eastAsia="Times New Roman" w:hAnsi="Arial" w:cs="Arial"/>
                <w:b/>
                <w:bCs/>
                <w:sz w:val="28"/>
                <w:szCs w:val="28"/>
                <w:lang w:val="en-GB"/>
              </w:rPr>
              <w:t>Service</w:t>
            </w:r>
          </w:p>
        </w:tc>
        <w:tc>
          <w:tcPr>
            <w:tcW w:w="993" w:type="dxa"/>
          </w:tcPr>
          <w:p w14:paraId="19520325" w14:textId="2E3888D6" w:rsidR="00FF12D7" w:rsidRPr="00FF12D7" w:rsidRDefault="00FF12D7" w:rsidP="00FF12D7">
            <w:pPr>
              <w:spacing w:before="120" w:after="0" w:line="360" w:lineRule="auto"/>
              <w:jc w:val="center"/>
              <w:rPr>
                <w:rFonts w:ascii="Arial" w:eastAsia="Times New Roman" w:hAnsi="Arial" w:cs="Arial"/>
                <w:b/>
                <w:bCs/>
                <w:sz w:val="28"/>
                <w:szCs w:val="28"/>
                <w:lang w:val="en-GB"/>
              </w:rPr>
            </w:pPr>
            <w:r w:rsidRPr="00FF12D7">
              <w:rPr>
                <w:rFonts w:ascii="Arial" w:eastAsia="Times New Roman" w:hAnsi="Arial" w:cs="Arial"/>
                <w:b/>
                <w:bCs/>
                <w:sz w:val="28"/>
                <w:szCs w:val="28"/>
                <w:lang w:val="en-GB"/>
              </w:rPr>
              <w:t>Dinar</w:t>
            </w:r>
          </w:p>
        </w:tc>
        <w:tc>
          <w:tcPr>
            <w:tcW w:w="993" w:type="dxa"/>
          </w:tcPr>
          <w:p w14:paraId="55BC013A" w14:textId="49E65800" w:rsidR="00FF12D7" w:rsidRPr="00FF12D7" w:rsidRDefault="00FF12D7" w:rsidP="00FF12D7">
            <w:pPr>
              <w:spacing w:before="120" w:after="0" w:line="360" w:lineRule="auto"/>
              <w:jc w:val="center"/>
              <w:rPr>
                <w:rFonts w:ascii="Arial" w:eastAsia="Times New Roman" w:hAnsi="Arial" w:cs="Arial"/>
                <w:b/>
                <w:bCs/>
                <w:sz w:val="28"/>
                <w:szCs w:val="28"/>
                <w:lang w:val="en-GB"/>
              </w:rPr>
            </w:pPr>
            <w:r w:rsidRPr="00FF12D7">
              <w:rPr>
                <w:rFonts w:ascii="Arial" w:eastAsia="Times New Roman" w:hAnsi="Arial" w:cs="Arial"/>
                <w:b/>
                <w:bCs/>
                <w:sz w:val="28"/>
                <w:szCs w:val="28"/>
                <w:lang w:val="en-GB"/>
              </w:rPr>
              <w:t>Fils</w:t>
            </w:r>
          </w:p>
        </w:tc>
      </w:tr>
      <w:tr w:rsidR="00FF12D7" w:rsidRPr="00FF12D7" w14:paraId="77067436" w14:textId="77777777" w:rsidTr="00FF12D7">
        <w:tc>
          <w:tcPr>
            <w:tcW w:w="606" w:type="dxa"/>
          </w:tcPr>
          <w:p w14:paraId="4522D770" w14:textId="77777777" w:rsidR="00FF12D7" w:rsidRPr="00FF12D7" w:rsidRDefault="00FF12D7" w:rsidP="00FF12D7">
            <w:pPr>
              <w:spacing w:before="120" w:after="0" w:line="360" w:lineRule="auto"/>
              <w:rPr>
                <w:rFonts w:ascii="Arial" w:eastAsia="Times New Roman" w:hAnsi="Arial" w:cs="Arial"/>
                <w:sz w:val="28"/>
                <w:szCs w:val="28"/>
                <w:lang w:val="en-GB"/>
              </w:rPr>
            </w:pPr>
            <w:r w:rsidRPr="00FF12D7">
              <w:rPr>
                <w:rFonts w:ascii="Arial" w:eastAsia="Times New Roman" w:hAnsi="Arial" w:cs="Arial"/>
                <w:sz w:val="28"/>
                <w:szCs w:val="28"/>
                <w:lang w:val="en-GB"/>
              </w:rPr>
              <w:t>67 </w:t>
            </w:r>
          </w:p>
        </w:tc>
        <w:tc>
          <w:tcPr>
            <w:tcW w:w="7327" w:type="dxa"/>
          </w:tcPr>
          <w:p w14:paraId="64AFC252" w14:textId="77777777" w:rsidR="00FF12D7" w:rsidRPr="00FF12D7" w:rsidRDefault="00FF12D7" w:rsidP="00FF12D7">
            <w:pPr>
              <w:spacing w:before="120" w:after="0" w:line="360" w:lineRule="auto"/>
              <w:rPr>
                <w:rFonts w:ascii="Arial" w:eastAsia="Times New Roman" w:hAnsi="Arial" w:cs="Arial"/>
                <w:sz w:val="28"/>
                <w:szCs w:val="28"/>
                <w:lang w:val="en-GB"/>
              </w:rPr>
            </w:pPr>
            <w:r w:rsidRPr="00FF12D7">
              <w:rPr>
                <w:rFonts w:ascii="Arial" w:eastAsia="Times New Roman" w:hAnsi="Arial" w:cs="Arial"/>
                <w:sz w:val="28"/>
                <w:szCs w:val="28"/>
                <w:lang w:val="en-GB"/>
              </w:rPr>
              <w:t>Issuing a multiple-entry electronic visa through the Directorate for the purpose of training, qualification, and similar matters. This visa shall be valid for a duration of six months from the date of issuance, allowing the holder to stay in the country for one month, with the possibility of extension for an equivalent period. </w:t>
            </w:r>
          </w:p>
        </w:tc>
        <w:tc>
          <w:tcPr>
            <w:tcW w:w="993" w:type="dxa"/>
          </w:tcPr>
          <w:p w14:paraId="50D0C7D8" w14:textId="77CED774" w:rsidR="00FF12D7" w:rsidRPr="00FF12D7" w:rsidRDefault="00FF12D7" w:rsidP="00FF12D7">
            <w:pPr>
              <w:spacing w:before="120" w:after="0" w:line="360" w:lineRule="auto"/>
              <w:rPr>
                <w:rFonts w:ascii="Arial" w:eastAsia="Times New Roman" w:hAnsi="Arial" w:cs="Arial"/>
                <w:sz w:val="28"/>
                <w:szCs w:val="28"/>
                <w:lang w:val="en-GB"/>
              </w:rPr>
            </w:pPr>
            <w:r w:rsidRPr="00FF12D7">
              <w:rPr>
                <w:rFonts w:ascii="Arial" w:eastAsia="Times New Roman" w:hAnsi="Arial" w:cs="Arial"/>
                <w:sz w:val="28"/>
                <w:szCs w:val="28"/>
                <w:lang w:val="en-GB"/>
              </w:rPr>
              <w:t>60 </w:t>
            </w:r>
          </w:p>
        </w:tc>
        <w:tc>
          <w:tcPr>
            <w:tcW w:w="993" w:type="dxa"/>
          </w:tcPr>
          <w:p w14:paraId="45BEAD70" w14:textId="7A4F5730" w:rsidR="00FF12D7" w:rsidRPr="00FF12D7" w:rsidRDefault="00FF12D7" w:rsidP="00FF12D7">
            <w:pPr>
              <w:spacing w:before="120" w:after="0" w:line="360" w:lineRule="auto"/>
              <w:rPr>
                <w:rFonts w:ascii="Arial" w:eastAsia="Times New Roman" w:hAnsi="Arial" w:cs="Arial"/>
                <w:sz w:val="28"/>
                <w:szCs w:val="28"/>
                <w:lang w:val="en-GB"/>
              </w:rPr>
            </w:pPr>
            <w:r w:rsidRPr="00FF12D7">
              <w:rPr>
                <w:rFonts w:ascii="Arial" w:eastAsia="Times New Roman" w:hAnsi="Arial" w:cs="Arial"/>
                <w:sz w:val="28"/>
                <w:szCs w:val="28"/>
                <w:lang w:val="en-GB"/>
              </w:rPr>
              <w:t>- </w:t>
            </w:r>
          </w:p>
        </w:tc>
      </w:tr>
      <w:tr w:rsidR="00FF12D7" w:rsidRPr="00FF12D7" w14:paraId="5FEFA197" w14:textId="77777777" w:rsidTr="00FF12D7">
        <w:tc>
          <w:tcPr>
            <w:tcW w:w="606" w:type="dxa"/>
          </w:tcPr>
          <w:p w14:paraId="4DA53287" w14:textId="77777777" w:rsidR="00FF12D7" w:rsidRPr="00FF12D7" w:rsidRDefault="00FF12D7" w:rsidP="00FF12D7">
            <w:pPr>
              <w:spacing w:before="120" w:after="0" w:line="360" w:lineRule="auto"/>
              <w:rPr>
                <w:rFonts w:ascii="Arial" w:eastAsia="Times New Roman" w:hAnsi="Arial" w:cs="Arial"/>
                <w:sz w:val="28"/>
                <w:szCs w:val="28"/>
                <w:lang w:val="en-GB"/>
              </w:rPr>
            </w:pPr>
            <w:r w:rsidRPr="00FF12D7">
              <w:rPr>
                <w:rFonts w:ascii="Arial" w:eastAsia="Times New Roman" w:hAnsi="Arial" w:cs="Arial"/>
                <w:sz w:val="28"/>
                <w:szCs w:val="28"/>
                <w:lang w:val="en-GB"/>
              </w:rPr>
              <w:t>68 </w:t>
            </w:r>
          </w:p>
        </w:tc>
        <w:tc>
          <w:tcPr>
            <w:tcW w:w="7327" w:type="dxa"/>
          </w:tcPr>
          <w:p w14:paraId="55904912" w14:textId="77777777" w:rsidR="00FF12D7" w:rsidRPr="00FF12D7" w:rsidRDefault="00FF12D7" w:rsidP="00FF12D7">
            <w:pPr>
              <w:spacing w:before="120" w:after="0" w:line="360" w:lineRule="auto"/>
              <w:rPr>
                <w:rFonts w:ascii="Arial" w:eastAsia="Times New Roman" w:hAnsi="Arial" w:cs="Arial"/>
                <w:sz w:val="28"/>
                <w:szCs w:val="28"/>
                <w:lang w:val="en-GB"/>
              </w:rPr>
            </w:pPr>
            <w:r w:rsidRPr="00FF12D7">
              <w:rPr>
                <w:rFonts w:ascii="Arial" w:eastAsia="Times New Roman" w:hAnsi="Arial" w:cs="Arial"/>
                <w:sz w:val="28"/>
                <w:szCs w:val="28"/>
                <w:lang w:val="en-GB"/>
              </w:rPr>
              <w:t xml:space="preserve">Providing expedited service at the </w:t>
            </w:r>
            <w:proofErr w:type="spellStart"/>
            <w:r w:rsidRPr="00FF12D7">
              <w:rPr>
                <w:rFonts w:ascii="Arial" w:eastAsia="Times New Roman" w:hAnsi="Arial" w:cs="Arial"/>
                <w:sz w:val="28"/>
                <w:szCs w:val="28"/>
                <w:lang w:val="en-GB"/>
              </w:rPr>
              <w:t>the</w:t>
            </w:r>
            <w:proofErr w:type="spellEnd"/>
            <w:r w:rsidRPr="00FF12D7">
              <w:rPr>
                <w:rFonts w:ascii="Arial" w:eastAsia="Times New Roman" w:hAnsi="Arial" w:cs="Arial"/>
                <w:sz w:val="28"/>
                <w:szCs w:val="28"/>
                <w:lang w:val="en-GB"/>
              </w:rPr>
              <w:t xml:space="preserve"> service centre headquarters, provided that a fee charged for each transaction. </w:t>
            </w:r>
          </w:p>
        </w:tc>
        <w:tc>
          <w:tcPr>
            <w:tcW w:w="993" w:type="dxa"/>
          </w:tcPr>
          <w:p w14:paraId="419EB482" w14:textId="552C837C" w:rsidR="00FF12D7" w:rsidRPr="00FF12D7" w:rsidRDefault="00FF12D7" w:rsidP="00FF12D7">
            <w:pPr>
              <w:spacing w:before="120" w:after="0" w:line="360" w:lineRule="auto"/>
              <w:rPr>
                <w:rFonts w:ascii="Arial" w:eastAsia="Times New Roman" w:hAnsi="Arial" w:cs="Arial"/>
                <w:sz w:val="28"/>
                <w:szCs w:val="28"/>
                <w:lang w:val="en-GB"/>
              </w:rPr>
            </w:pPr>
            <w:r w:rsidRPr="00FF12D7">
              <w:rPr>
                <w:rFonts w:ascii="Arial" w:eastAsia="Times New Roman" w:hAnsi="Arial" w:cs="Arial"/>
                <w:sz w:val="28"/>
                <w:szCs w:val="28"/>
                <w:lang w:val="en-GB"/>
              </w:rPr>
              <w:t>10 </w:t>
            </w:r>
          </w:p>
        </w:tc>
        <w:tc>
          <w:tcPr>
            <w:tcW w:w="993" w:type="dxa"/>
          </w:tcPr>
          <w:p w14:paraId="1B502430" w14:textId="748F8999" w:rsidR="00FF12D7" w:rsidRPr="00FF12D7" w:rsidRDefault="00FF12D7" w:rsidP="00FF12D7">
            <w:pPr>
              <w:spacing w:before="120" w:after="0" w:line="360" w:lineRule="auto"/>
              <w:rPr>
                <w:rFonts w:ascii="Arial" w:eastAsia="Times New Roman" w:hAnsi="Arial" w:cs="Arial"/>
                <w:sz w:val="28"/>
                <w:szCs w:val="28"/>
                <w:lang w:val="en-GB"/>
              </w:rPr>
            </w:pPr>
            <w:r w:rsidRPr="00FF12D7">
              <w:rPr>
                <w:rFonts w:ascii="Arial" w:eastAsia="Times New Roman" w:hAnsi="Arial" w:cs="Arial"/>
                <w:sz w:val="28"/>
                <w:szCs w:val="28"/>
                <w:lang w:val="en-GB"/>
              </w:rPr>
              <w:t>- </w:t>
            </w:r>
          </w:p>
        </w:tc>
      </w:tr>
    </w:tbl>
    <w:p w14:paraId="6C6549CD" w14:textId="77777777" w:rsidR="003158FA" w:rsidRPr="003158FA" w:rsidRDefault="003158FA" w:rsidP="00913DE1">
      <w:pPr>
        <w:spacing w:before="120" w:after="0" w:line="360" w:lineRule="auto"/>
        <w:rPr>
          <w:rFonts w:ascii="Arial" w:eastAsia="Times New Roman" w:hAnsi="Arial" w:cs="Arial"/>
          <w:b/>
          <w:bCs/>
          <w:sz w:val="28"/>
          <w:szCs w:val="28"/>
        </w:rPr>
      </w:pPr>
    </w:p>
    <w:p w14:paraId="04CD1E0F" w14:textId="77777777" w:rsidR="003158FA" w:rsidRPr="003158FA" w:rsidRDefault="003158FA" w:rsidP="00913DE1">
      <w:pPr>
        <w:spacing w:before="120" w:after="0" w:line="360" w:lineRule="auto"/>
        <w:rPr>
          <w:rFonts w:ascii="Arial" w:hAnsi="Arial" w:cs="Arial"/>
          <w:sz w:val="28"/>
          <w:szCs w:val="28"/>
        </w:rPr>
      </w:pPr>
    </w:p>
    <w:sectPr w:rsidR="003158FA" w:rsidRPr="003158FA" w:rsidSect="00F84D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8FA"/>
    <w:rsid w:val="000129C5"/>
    <w:rsid w:val="003158FA"/>
    <w:rsid w:val="00913DE1"/>
    <w:rsid w:val="00946FD6"/>
    <w:rsid w:val="00AD4C35"/>
    <w:rsid w:val="00BD6D1C"/>
    <w:rsid w:val="00F84D5F"/>
    <w:rsid w:val="00FF12D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0C229B"/>
  <w15:chartTrackingRefBased/>
  <w15:docId w15:val="{23387F0E-04A1-4E55-AEAA-F8C0AD773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msonormal0">
    <w:name w:val="msonormal"/>
    <w:basedOn w:val="Normal"/>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hidetransorigin">
    <w:name w:val="hidetransorigin"/>
    <w:basedOn w:val="DefaultParagraphFont"/>
  </w:style>
  <w:style w:type="table" w:styleId="TableGrid">
    <w:name w:val="Table Grid"/>
    <w:basedOn w:val="TableNormal"/>
    <w:uiPriority w:val="59"/>
    <w:rPr>
      <w:sz w:val="22"/>
      <w:szCs w:val="22"/>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557</Words>
  <Characters>3179</Characters>
  <Application>Microsoft Office Word</Application>
  <DocSecurity>0</DocSecurity>
  <Lines>26</Lines>
  <Paragraphs>7</Paragraphs>
  <ScaleCrop>false</ScaleCrop>
  <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د.أحمد حمد الوحوش</cp:lastModifiedBy>
  <cp:revision>5</cp:revision>
  <dcterms:created xsi:type="dcterms:W3CDTF">2024-05-14T10:04:00Z</dcterms:created>
  <dcterms:modified xsi:type="dcterms:W3CDTF">2024-05-22T14:00:00Z</dcterms:modified>
</cp:coreProperties>
</file>