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4F3D7" w14:textId="031516BF" w:rsidR="008A599A" w:rsidRPr="003A4F24" w:rsidRDefault="008A599A" w:rsidP="008A599A">
      <w:pPr>
        <w:rPr>
          <w:rFonts w:asciiTheme="minorBidi" w:hAnsiTheme="minorBidi" w:cstheme="minorBidi"/>
          <w:b/>
          <w:bCs/>
          <w:sz w:val="28"/>
          <w:szCs w:val="28"/>
          <w:lang w:val="en-US"/>
        </w:rPr>
      </w:pPr>
      <w:r w:rsidRPr="003A4F24">
        <w:rPr>
          <w:rFonts w:asciiTheme="minorBidi" w:hAnsiTheme="minorBidi" w:cstheme="minorBidi"/>
          <w:b/>
          <w:bCs/>
          <w:sz w:val="28"/>
          <w:szCs w:val="28"/>
          <w:lang w:val="en-US"/>
        </w:rPr>
        <w:t>Disclaimer: The official version of the law and any amendments thereto is published in Arabic in the Official Gazette. This version of the law, including amendments thereto, is provided for guidance and easy reference purposes. The Legislation &amp; Legal Opinion Commission does not accept any liability for any discrepancy between this version and the official version as published in the Official Gazette and / or any inaccuracy or errors in the translation.</w:t>
      </w:r>
    </w:p>
    <w:p w14:paraId="103B4FE2" w14:textId="77777777" w:rsidR="008A599A" w:rsidRPr="003A4F24" w:rsidRDefault="008A599A" w:rsidP="008A599A">
      <w:pPr>
        <w:rPr>
          <w:rFonts w:asciiTheme="minorBidi" w:hAnsiTheme="minorBidi" w:cstheme="minorBidi"/>
          <w:b/>
          <w:bCs/>
          <w:sz w:val="28"/>
          <w:szCs w:val="28"/>
          <w:rtl/>
          <w:lang w:bidi="ar-BH"/>
        </w:rPr>
      </w:pPr>
      <w:r w:rsidRPr="003A4F24">
        <w:rPr>
          <w:rFonts w:asciiTheme="minorBidi" w:hAnsiTheme="minorBidi" w:cstheme="minorBidi"/>
          <w:b/>
          <w:bCs/>
          <w:sz w:val="28"/>
          <w:szCs w:val="28"/>
        </w:rPr>
        <w:t>For any corrections, remarks, or suggestions, kindly contact us on translate@lloc.gov.bh</w:t>
      </w:r>
    </w:p>
    <w:p w14:paraId="1916A439" w14:textId="1041A34E" w:rsidR="008A599A" w:rsidRPr="003A4F24" w:rsidRDefault="008A599A" w:rsidP="008A599A">
      <w:pPr>
        <w:rPr>
          <w:rFonts w:asciiTheme="minorBidi" w:hAnsiTheme="minorBidi" w:cstheme="minorBidi"/>
          <w:b/>
          <w:bCs/>
          <w:sz w:val="28"/>
          <w:szCs w:val="28"/>
        </w:rPr>
      </w:pPr>
      <w:r w:rsidRPr="003A4F24">
        <w:rPr>
          <w:rFonts w:asciiTheme="minorBidi" w:hAnsiTheme="minorBidi" w:cstheme="minorBidi"/>
          <w:b/>
          <w:bCs/>
          <w:sz w:val="28"/>
          <w:szCs w:val="28"/>
        </w:rPr>
        <w:t>Published on the website on July 2026</w:t>
      </w:r>
    </w:p>
    <w:p w14:paraId="23ABC8C3" w14:textId="40D33DA0" w:rsidR="00E51CB5" w:rsidRPr="003A4F24" w:rsidRDefault="008A599A" w:rsidP="008A599A">
      <w:pPr>
        <w:rPr>
          <w:rFonts w:asciiTheme="minorBidi" w:hAnsiTheme="minorBidi" w:cstheme="minorBidi"/>
          <w:b/>
          <w:bCs/>
          <w:sz w:val="28"/>
          <w:szCs w:val="28"/>
        </w:rPr>
      </w:pPr>
      <w:r w:rsidRPr="003A4F24">
        <w:rPr>
          <w:rFonts w:asciiTheme="minorBidi" w:hAnsiTheme="minorBidi" w:cstheme="minorBidi"/>
          <w:b/>
          <w:bCs/>
          <w:sz w:val="28"/>
          <w:szCs w:val="28"/>
        </w:rPr>
        <w:br w:type="page"/>
      </w:r>
    </w:p>
    <w:p w14:paraId="3714306C" w14:textId="15E7843D" w:rsidR="00F52DF4" w:rsidRDefault="00F52DF4" w:rsidP="00F52DF4">
      <w:pPr>
        <w:rPr>
          <w:rFonts w:asciiTheme="minorBidi" w:hAnsiTheme="minorBidi" w:cstheme="minorBidi"/>
          <w:b/>
          <w:bCs/>
          <w:sz w:val="28"/>
          <w:szCs w:val="28"/>
        </w:rPr>
      </w:pPr>
      <w:r w:rsidRPr="00103788">
        <w:rPr>
          <w:rFonts w:asciiTheme="minorBidi" w:hAnsiTheme="minorBidi" w:cstheme="minorBidi"/>
          <w:b/>
          <w:bCs/>
          <w:sz w:val="28"/>
          <w:szCs w:val="28"/>
        </w:rPr>
        <w:lastRenderedPageBreak/>
        <w:t>Ministry of Interior</w:t>
      </w:r>
    </w:p>
    <w:p w14:paraId="4A15955A" w14:textId="35847F4B" w:rsidR="0031580A" w:rsidRPr="003A4F24" w:rsidRDefault="0031580A" w:rsidP="00BE7FBE">
      <w:pPr>
        <w:spacing w:line="256" w:lineRule="auto"/>
        <w:jc w:val="center"/>
        <w:rPr>
          <w:rFonts w:asciiTheme="minorBidi" w:hAnsiTheme="minorBidi" w:cstheme="minorBidi"/>
          <w:b/>
          <w:bCs/>
          <w:sz w:val="28"/>
          <w:szCs w:val="28"/>
        </w:rPr>
      </w:pPr>
      <w:r w:rsidRPr="003A4F24">
        <w:rPr>
          <w:rFonts w:asciiTheme="minorBidi" w:hAnsiTheme="minorBidi" w:cstheme="minorBidi"/>
          <w:b/>
          <w:bCs/>
          <w:sz w:val="28"/>
          <w:szCs w:val="28"/>
        </w:rPr>
        <w:t>Decision No. (119) of 2024</w:t>
      </w:r>
    </w:p>
    <w:p w14:paraId="390F8B2B" w14:textId="77777777" w:rsidR="0031580A" w:rsidRPr="003A4F24" w:rsidRDefault="0031580A" w:rsidP="00BE7FBE">
      <w:pPr>
        <w:spacing w:line="256" w:lineRule="auto"/>
        <w:jc w:val="center"/>
        <w:rPr>
          <w:rFonts w:asciiTheme="minorBidi" w:hAnsiTheme="minorBidi" w:cstheme="minorBidi"/>
          <w:b/>
          <w:bCs/>
          <w:sz w:val="28"/>
          <w:szCs w:val="28"/>
        </w:rPr>
      </w:pPr>
      <w:r w:rsidRPr="003A4F24">
        <w:rPr>
          <w:rFonts w:asciiTheme="minorBidi" w:hAnsiTheme="minorBidi" w:cstheme="minorBidi"/>
          <w:b/>
          <w:bCs/>
          <w:sz w:val="28"/>
          <w:szCs w:val="28"/>
        </w:rPr>
        <w:t>Amending Certain Provisions to Decision No. (196) of 2014</w:t>
      </w:r>
    </w:p>
    <w:p w14:paraId="245AB28F" w14:textId="0D15A3E7" w:rsidR="0031580A" w:rsidRPr="003A4F24" w:rsidRDefault="00BE7FBE" w:rsidP="00BE7FBE">
      <w:pPr>
        <w:spacing w:line="256" w:lineRule="auto"/>
        <w:jc w:val="center"/>
        <w:rPr>
          <w:rFonts w:asciiTheme="minorBidi" w:hAnsiTheme="minorBidi" w:cstheme="minorBidi"/>
          <w:b/>
          <w:bCs/>
          <w:sz w:val="28"/>
          <w:szCs w:val="28"/>
        </w:rPr>
      </w:pPr>
      <w:r w:rsidRPr="003A4F24">
        <w:rPr>
          <w:rFonts w:asciiTheme="minorBidi" w:hAnsiTheme="minorBidi" w:cstheme="minorBidi"/>
          <w:b/>
          <w:bCs/>
          <w:sz w:val="28"/>
          <w:szCs w:val="28"/>
        </w:rPr>
        <w:t>r</w:t>
      </w:r>
      <w:r w:rsidR="0031580A" w:rsidRPr="003A4F24">
        <w:rPr>
          <w:rFonts w:asciiTheme="minorBidi" w:hAnsiTheme="minorBidi" w:cstheme="minorBidi"/>
          <w:b/>
          <w:bCs/>
          <w:sz w:val="28"/>
          <w:szCs w:val="28"/>
        </w:rPr>
        <w:t>egarding the Fees for Services Provided by the General Directorate of Nationality, Passports, and Residence Affairs</w:t>
      </w:r>
    </w:p>
    <w:p w14:paraId="4680EBCB"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Minister of Interior:</w:t>
      </w:r>
    </w:p>
    <w:p w14:paraId="5AE2AE66"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Having reviewed the Decision No. (196) of 2014 regarding the Fees for Services provided by the General Directorate of Nationality, Passports and Residence, as amended,</w:t>
      </w:r>
    </w:p>
    <w:p w14:paraId="45496F39"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And upon the submission of the Undersecretary for Nationality, Passports, and Residence Affairs,</w:t>
      </w:r>
    </w:p>
    <w:p w14:paraId="2D3CB453"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And after the approval of the Cabinet,</w:t>
      </w:r>
    </w:p>
    <w:p w14:paraId="0CDEAD18" w14:textId="77777777" w:rsidR="0031580A" w:rsidRPr="003A4F24" w:rsidRDefault="0031580A" w:rsidP="00BE7FBE">
      <w:pPr>
        <w:spacing w:line="256" w:lineRule="auto"/>
        <w:jc w:val="center"/>
        <w:rPr>
          <w:rFonts w:asciiTheme="minorBidi" w:hAnsiTheme="minorBidi" w:cstheme="minorBidi"/>
          <w:b/>
          <w:bCs/>
          <w:sz w:val="28"/>
          <w:szCs w:val="28"/>
        </w:rPr>
      </w:pPr>
      <w:r w:rsidRPr="003A4F24">
        <w:rPr>
          <w:rFonts w:asciiTheme="minorBidi" w:hAnsiTheme="minorBidi" w:cstheme="minorBidi"/>
          <w:b/>
          <w:bCs/>
          <w:sz w:val="28"/>
          <w:szCs w:val="28"/>
        </w:rPr>
        <w:t>Hereby Decides:</w:t>
      </w:r>
    </w:p>
    <w:p w14:paraId="55A33C7F" w14:textId="77777777" w:rsidR="0031580A" w:rsidRPr="003A4F24" w:rsidRDefault="0031580A" w:rsidP="00BE7FBE">
      <w:pPr>
        <w:spacing w:line="256" w:lineRule="auto"/>
        <w:jc w:val="center"/>
        <w:rPr>
          <w:rFonts w:asciiTheme="minorBidi" w:hAnsiTheme="minorBidi" w:cstheme="minorBidi"/>
          <w:b/>
          <w:bCs/>
          <w:sz w:val="28"/>
          <w:szCs w:val="28"/>
        </w:rPr>
      </w:pPr>
      <w:r w:rsidRPr="003A4F24">
        <w:rPr>
          <w:rFonts w:asciiTheme="minorBidi" w:hAnsiTheme="minorBidi" w:cstheme="minorBidi"/>
          <w:b/>
          <w:bCs/>
          <w:sz w:val="28"/>
          <w:szCs w:val="28"/>
        </w:rPr>
        <w:t>Article One</w:t>
      </w:r>
    </w:p>
    <w:p w14:paraId="7254B89D"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Clause (22) set out in the Table annexed to Decision No. (196) of 2014 regarding the Fees for Services provided by the General Directorate of Nationality, Passports and Residence shall be replaced with the text set out in the following Table:</w:t>
      </w:r>
    </w:p>
    <w:tbl>
      <w:tblPr>
        <w:tblW w:w="0" w:type="auto"/>
        <w:jc w:val="center"/>
        <w:tblCellMar>
          <w:left w:w="0" w:type="dxa"/>
          <w:right w:w="0" w:type="dxa"/>
        </w:tblCellMar>
        <w:tblLook w:val="04A0" w:firstRow="1" w:lastRow="0" w:firstColumn="1" w:lastColumn="0" w:noHBand="0" w:noVBand="1"/>
      </w:tblPr>
      <w:tblGrid>
        <w:gridCol w:w="663"/>
        <w:gridCol w:w="5238"/>
        <w:gridCol w:w="738"/>
        <w:gridCol w:w="886"/>
      </w:tblGrid>
      <w:tr w:rsidR="00354D31" w:rsidRPr="003A4F24" w14:paraId="62ED6458" w14:textId="77777777">
        <w:trPr>
          <w:jc w:val="center"/>
        </w:trPr>
        <w:tc>
          <w:tcPr>
            <w:tcW w:w="663"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373B4F21"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v</w:t>
            </w:r>
          </w:p>
        </w:tc>
        <w:tc>
          <w:tcPr>
            <w:tcW w:w="5238"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795774A2"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Service</w:t>
            </w:r>
          </w:p>
        </w:tc>
        <w:tc>
          <w:tcPr>
            <w:tcW w:w="1553"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2B226E47"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Fee Amount</w:t>
            </w:r>
          </w:p>
        </w:tc>
      </w:tr>
      <w:tr w:rsidR="00354D31" w:rsidRPr="003A4F24" w14:paraId="5CB9A911" w14:textId="7777777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82F79E8" w14:textId="77777777" w:rsidR="0031580A" w:rsidRPr="003A4F24" w:rsidRDefault="0031580A" w:rsidP="00BE7FBE">
            <w:pPr>
              <w:rPr>
                <w:rFonts w:asciiTheme="minorBidi" w:hAnsiTheme="minorBidi" w:cstheme="minorBidi"/>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60648F5F" w14:textId="77777777" w:rsidR="0031580A" w:rsidRPr="003A4F24" w:rsidRDefault="0031580A" w:rsidP="00BE7FBE">
            <w:pPr>
              <w:rPr>
                <w:rFonts w:asciiTheme="minorBidi" w:hAnsiTheme="minorBidi" w:cstheme="minorBidi"/>
                <w:sz w:val="28"/>
                <w:szCs w:val="28"/>
              </w:rPr>
            </w:pPr>
          </w:p>
        </w:tc>
        <w:tc>
          <w:tcPr>
            <w:tcW w:w="73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CDD2467"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Fils</w:t>
            </w:r>
          </w:p>
        </w:tc>
        <w:tc>
          <w:tcPr>
            <w:tcW w:w="81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ACA44AF"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Dinar</w:t>
            </w:r>
          </w:p>
        </w:tc>
      </w:tr>
      <w:tr w:rsidR="00354D31" w:rsidRPr="003A4F24" w14:paraId="0E0F9108" w14:textId="77777777">
        <w:trPr>
          <w:jc w:val="center"/>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97D38E"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22</w:t>
            </w:r>
          </w:p>
        </w:tc>
        <w:tc>
          <w:tcPr>
            <w:tcW w:w="5238" w:type="dxa"/>
            <w:tcBorders>
              <w:top w:val="nil"/>
              <w:left w:val="nil"/>
              <w:bottom w:val="single" w:sz="8" w:space="0" w:color="auto"/>
              <w:right w:val="single" w:sz="8" w:space="0" w:color="auto"/>
            </w:tcBorders>
            <w:tcMar>
              <w:top w:w="0" w:type="dxa"/>
              <w:left w:w="108" w:type="dxa"/>
              <w:bottom w:w="0" w:type="dxa"/>
              <w:right w:w="108" w:type="dxa"/>
            </w:tcMar>
            <w:hideMark/>
          </w:tcPr>
          <w:p w14:paraId="309BDB62"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Conversion of a visit visa – for the same sponsor – into a work visa.</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14:paraId="663C0E8C"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14:paraId="290709CC"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250</w:t>
            </w:r>
          </w:p>
        </w:tc>
      </w:tr>
    </w:tbl>
    <w:p w14:paraId="063BA30C"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 </w:t>
      </w:r>
    </w:p>
    <w:p w14:paraId="0834873A" w14:textId="77777777" w:rsidR="003A4F24" w:rsidRPr="003A4F24" w:rsidRDefault="003A4F24" w:rsidP="00BE7FBE">
      <w:pPr>
        <w:rPr>
          <w:rFonts w:asciiTheme="minorBidi" w:hAnsiTheme="minorBidi" w:cstheme="minorBidi"/>
          <w:sz w:val="28"/>
          <w:szCs w:val="28"/>
        </w:rPr>
      </w:pPr>
    </w:p>
    <w:p w14:paraId="38EAAD3F" w14:textId="123D7A76" w:rsidR="0031580A" w:rsidRPr="003A4F24" w:rsidRDefault="0031580A" w:rsidP="00BE7FBE">
      <w:pPr>
        <w:spacing w:line="256" w:lineRule="auto"/>
        <w:jc w:val="center"/>
        <w:rPr>
          <w:rFonts w:asciiTheme="minorBidi" w:hAnsiTheme="minorBidi" w:cstheme="minorBidi"/>
          <w:b/>
          <w:bCs/>
          <w:sz w:val="28"/>
          <w:szCs w:val="28"/>
        </w:rPr>
      </w:pPr>
      <w:r w:rsidRPr="003A4F24">
        <w:rPr>
          <w:rFonts w:asciiTheme="minorBidi" w:hAnsiTheme="minorBidi" w:cstheme="minorBidi"/>
          <w:b/>
          <w:bCs/>
          <w:sz w:val="28"/>
          <w:szCs w:val="28"/>
        </w:rPr>
        <w:t>Article Two</w:t>
      </w:r>
    </w:p>
    <w:p w14:paraId="1E0511F8"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Two new Clauses, numbered (74) and (75), shall be added to the Table annexed to Decision No. (196) of 2014 regarding the Fees for Services provided by the General Directorate of Nationality, Passports and Residence, with the texts set out in the following Table:</w:t>
      </w:r>
    </w:p>
    <w:tbl>
      <w:tblPr>
        <w:tblW w:w="0" w:type="auto"/>
        <w:jc w:val="center"/>
        <w:tblCellMar>
          <w:left w:w="0" w:type="dxa"/>
          <w:right w:w="0" w:type="dxa"/>
        </w:tblCellMar>
        <w:tblLook w:val="04A0" w:firstRow="1" w:lastRow="0" w:firstColumn="1" w:lastColumn="0" w:noHBand="0" w:noVBand="1"/>
      </w:tblPr>
      <w:tblGrid>
        <w:gridCol w:w="663"/>
        <w:gridCol w:w="5238"/>
        <w:gridCol w:w="738"/>
        <w:gridCol w:w="886"/>
      </w:tblGrid>
      <w:tr w:rsidR="00354D31" w:rsidRPr="003A4F24" w14:paraId="553EED19" w14:textId="77777777">
        <w:trPr>
          <w:jc w:val="center"/>
        </w:trPr>
        <w:tc>
          <w:tcPr>
            <w:tcW w:w="663" w:type="dxa"/>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14:paraId="438F26E4"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lastRenderedPageBreak/>
              <w:t>v</w:t>
            </w:r>
          </w:p>
        </w:tc>
        <w:tc>
          <w:tcPr>
            <w:tcW w:w="5238" w:type="dxa"/>
            <w:vMerge w:val="restar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5D3E3D3"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Service</w:t>
            </w:r>
          </w:p>
        </w:tc>
        <w:tc>
          <w:tcPr>
            <w:tcW w:w="1553" w:type="dxa"/>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CD7FE2E"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Fee Amount</w:t>
            </w:r>
          </w:p>
        </w:tc>
      </w:tr>
      <w:tr w:rsidR="00354D31" w:rsidRPr="003A4F24" w14:paraId="6FD8E9D2" w14:textId="7777777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A1AAF5F" w14:textId="77777777" w:rsidR="0031580A" w:rsidRPr="003A4F24" w:rsidRDefault="0031580A" w:rsidP="00BE7FBE">
            <w:pPr>
              <w:rPr>
                <w:rFonts w:asciiTheme="minorBidi" w:hAnsiTheme="minorBidi" w:cstheme="minorBidi"/>
                <w:sz w:val="28"/>
                <w:szCs w:val="28"/>
              </w:rPr>
            </w:pPr>
          </w:p>
        </w:tc>
        <w:tc>
          <w:tcPr>
            <w:tcW w:w="0" w:type="auto"/>
            <w:vMerge/>
            <w:tcBorders>
              <w:top w:val="single" w:sz="8" w:space="0" w:color="auto"/>
              <w:left w:val="nil"/>
              <w:bottom w:val="single" w:sz="8" w:space="0" w:color="auto"/>
              <w:right w:val="single" w:sz="8" w:space="0" w:color="auto"/>
            </w:tcBorders>
            <w:vAlign w:val="center"/>
            <w:hideMark/>
          </w:tcPr>
          <w:p w14:paraId="1CC6C0CE" w14:textId="77777777" w:rsidR="0031580A" w:rsidRPr="003A4F24" w:rsidRDefault="0031580A" w:rsidP="00BE7FBE">
            <w:pPr>
              <w:rPr>
                <w:rFonts w:asciiTheme="minorBidi" w:hAnsiTheme="minorBidi" w:cstheme="minorBidi"/>
                <w:sz w:val="28"/>
                <w:szCs w:val="28"/>
              </w:rPr>
            </w:pPr>
          </w:p>
        </w:tc>
        <w:tc>
          <w:tcPr>
            <w:tcW w:w="738"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FDF6AE4"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Fils</w:t>
            </w:r>
          </w:p>
        </w:tc>
        <w:tc>
          <w:tcPr>
            <w:tcW w:w="81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9146E52"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Dinar</w:t>
            </w:r>
          </w:p>
        </w:tc>
      </w:tr>
      <w:tr w:rsidR="00354D31" w:rsidRPr="003A4F24" w14:paraId="240496A4" w14:textId="77777777">
        <w:trPr>
          <w:jc w:val="center"/>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8F19AB"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74</w:t>
            </w:r>
          </w:p>
        </w:tc>
        <w:tc>
          <w:tcPr>
            <w:tcW w:w="5238" w:type="dxa"/>
            <w:tcBorders>
              <w:top w:val="nil"/>
              <w:left w:val="nil"/>
              <w:bottom w:val="single" w:sz="8" w:space="0" w:color="auto"/>
              <w:right w:val="single" w:sz="8" w:space="0" w:color="auto"/>
            </w:tcBorders>
            <w:tcMar>
              <w:top w:w="0" w:type="dxa"/>
              <w:left w:w="108" w:type="dxa"/>
              <w:bottom w:w="0" w:type="dxa"/>
              <w:right w:w="108" w:type="dxa"/>
            </w:tcMar>
            <w:hideMark/>
          </w:tcPr>
          <w:p w14:paraId="5FD8A30A"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Conversion of a visit visa into a dependent visa.</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14:paraId="14F3A275"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14:paraId="61AC2497"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250</w:t>
            </w:r>
          </w:p>
        </w:tc>
      </w:tr>
      <w:tr w:rsidR="00354D31" w:rsidRPr="003A4F24" w14:paraId="37B27BF4" w14:textId="77777777">
        <w:trPr>
          <w:jc w:val="center"/>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13C6A0"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75</w:t>
            </w:r>
          </w:p>
        </w:tc>
        <w:tc>
          <w:tcPr>
            <w:tcW w:w="5238" w:type="dxa"/>
            <w:tcBorders>
              <w:top w:val="nil"/>
              <w:left w:val="nil"/>
              <w:bottom w:val="single" w:sz="8" w:space="0" w:color="auto"/>
              <w:right w:val="single" w:sz="8" w:space="0" w:color="auto"/>
            </w:tcBorders>
            <w:tcMar>
              <w:top w:w="0" w:type="dxa"/>
              <w:left w:w="108" w:type="dxa"/>
              <w:bottom w:w="0" w:type="dxa"/>
              <w:right w:w="108" w:type="dxa"/>
            </w:tcMar>
            <w:hideMark/>
          </w:tcPr>
          <w:p w14:paraId="14B7D90B"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Conversion of a dependent visa into a work visa.</w:t>
            </w:r>
          </w:p>
        </w:tc>
        <w:tc>
          <w:tcPr>
            <w:tcW w:w="738" w:type="dxa"/>
            <w:tcBorders>
              <w:top w:val="nil"/>
              <w:left w:val="nil"/>
              <w:bottom w:val="single" w:sz="8" w:space="0" w:color="auto"/>
              <w:right w:val="single" w:sz="8" w:space="0" w:color="auto"/>
            </w:tcBorders>
            <w:tcMar>
              <w:top w:w="0" w:type="dxa"/>
              <w:left w:w="108" w:type="dxa"/>
              <w:bottom w:w="0" w:type="dxa"/>
              <w:right w:w="108" w:type="dxa"/>
            </w:tcMar>
            <w:hideMark/>
          </w:tcPr>
          <w:p w14:paraId="6C0E4A91"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14:paraId="7B4F9921"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250</w:t>
            </w:r>
          </w:p>
        </w:tc>
      </w:tr>
    </w:tbl>
    <w:p w14:paraId="554A07F2"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 </w:t>
      </w:r>
    </w:p>
    <w:p w14:paraId="141FB39F" w14:textId="77777777" w:rsidR="0031580A" w:rsidRPr="003A4F24" w:rsidRDefault="0031580A" w:rsidP="00BE7FBE">
      <w:pPr>
        <w:spacing w:line="256" w:lineRule="auto"/>
        <w:jc w:val="center"/>
        <w:rPr>
          <w:rFonts w:asciiTheme="minorBidi" w:hAnsiTheme="minorBidi" w:cstheme="minorBidi"/>
          <w:b/>
          <w:bCs/>
          <w:sz w:val="28"/>
          <w:szCs w:val="28"/>
        </w:rPr>
      </w:pPr>
      <w:r w:rsidRPr="003A4F24">
        <w:rPr>
          <w:rFonts w:asciiTheme="minorBidi" w:hAnsiTheme="minorBidi" w:cstheme="minorBidi"/>
          <w:b/>
          <w:bCs/>
          <w:sz w:val="28"/>
          <w:szCs w:val="28"/>
        </w:rPr>
        <w:t>Article Three</w:t>
      </w:r>
    </w:p>
    <w:p w14:paraId="1F3A9309" w14:textId="77777777" w:rsidR="0031580A" w:rsidRPr="003A4F24" w:rsidRDefault="0031580A" w:rsidP="00BE7FBE">
      <w:pPr>
        <w:rPr>
          <w:rFonts w:asciiTheme="minorBidi" w:hAnsiTheme="minorBidi" w:cstheme="minorBidi"/>
          <w:sz w:val="28"/>
          <w:szCs w:val="28"/>
        </w:rPr>
      </w:pPr>
      <w:r w:rsidRPr="003A4F24">
        <w:rPr>
          <w:rFonts w:asciiTheme="minorBidi" w:hAnsiTheme="minorBidi" w:cstheme="minorBidi"/>
          <w:sz w:val="28"/>
          <w:szCs w:val="28"/>
        </w:rPr>
        <w:t>The Undersecretary of the Ministry for Nationality, Passports, and Residence Affairs shall implement the provisions of this Decision, and it shall come into force from the day following the date of its publication in the Official Gazette.</w:t>
      </w:r>
    </w:p>
    <w:p w14:paraId="05BC87DD" w14:textId="77777777" w:rsidR="00BE7FBE" w:rsidRPr="003A4F24" w:rsidRDefault="00BE7FBE" w:rsidP="00BE7FBE">
      <w:pPr>
        <w:rPr>
          <w:rFonts w:asciiTheme="minorBidi" w:hAnsiTheme="minorBidi" w:cstheme="minorBidi"/>
          <w:sz w:val="28"/>
          <w:szCs w:val="28"/>
        </w:rPr>
      </w:pPr>
    </w:p>
    <w:p w14:paraId="2527838F" w14:textId="33094583" w:rsidR="0031580A" w:rsidRPr="003F53F4" w:rsidRDefault="0031580A" w:rsidP="00BE7FBE">
      <w:pPr>
        <w:rPr>
          <w:rFonts w:asciiTheme="minorBidi" w:hAnsiTheme="minorBidi" w:cstheme="minorBidi"/>
          <w:b/>
          <w:bCs/>
          <w:sz w:val="28"/>
          <w:szCs w:val="28"/>
        </w:rPr>
      </w:pPr>
      <w:r w:rsidRPr="003F53F4">
        <w:rPr>
          <w:rFonts w:asciiTheme="minorBidi" w:hAnsiTheme="minorBidi" w:cstheme="minorBidi"/>
          <w:b/>
          <w:bCs/>
          <w:sz w:val="28"/>
          <w:szCs w:val="28"/>
        </w:rPr>
        <w:t>Lieutenant General</w:t>
      </w:r>
    </w:p>
    <w:p w14:paraId="77EEBCC5" w14:textId="77777777" w:rsidR="0031580A" w:rsidRPr="003F53F4" w:rsidRDefault="0031580A" w:rsidP="00BE7FBE">
      <w:pPr>
        <w:rPr>
          <w:rFonts w:asciiTheme="minorBidi" w:hAnsiTheme="minorBidi" w:cstheme="minorBidi"/>
          <w:b/>
          <w:bCs/>
          <w:sz w:val="28"/>
          <w:szCs w:val="28"/>
        </w:rPr>
      </w:pPr>
      <w:r w:rsidRPr="003F53F4">
        <w:rPr>
          <w:rFonts w:asciiTheme="minorBidi" w:hAnsiTheme="minorBidi" w:cstheme="minorBidi"/>
          <w:b/>
          <w:bCs/>
          <w:sz w:val="28"/>
          <w:szCs w:val="28"/>
        </w:rPr>
        <w:t>Minister of Interior</w:t>
      </w:r>
    </w:p>
    <w:p w14:paraId="1CCCB7C5" w14:textId="77777777" w:rsidR="0031580A" w:rsidRPr="003F53F4" w:rsidRDefault="0031580A" w:rsidP="00BE7FBE">
      <w:pPr>
        <w:rPr>
          <w:rFonts w:asciiTheme="minorBidi" w:hAnsiTheme="minorBidi" w:cstheme="minorBidi"/>
          <w:b/>
          <w:bCs/>
          <w:sz w:val="28"/>
          <w:szCs w:val="28"/>
        </w:rPr>
      </w:pPr>
      <w:r w:rsidRPr="003F53F4">
        <w:rPr>
          <w:rFonts w:asciiTheme="minorBidi" w:hAnsiTheme="minorBidi" w:cstheme="minorBidi"/>
          <w:b/>
          <w:bCs/>
          <w:sz w:val="28"/>
          <w:szCs w:val="28"/>
        </w:rPr>
        <w:t>Rashid bin Abdullah Al Khalifa</w:t>
      </w:r>
    </w:p>
    <w:p w14:paraId="74B2D11D" w14:textId="77777777" w:rsidR="0031580A" w:rsidRPr="003F53F4" w:rsidRDefault="0031580A" w:rsidP="00045972">
      <w:pPr>
        <w:jc w:val="right"/>
        <w:rPr>
          <w:rFonts w:asciiTheme="minorBidi" w:hAnsiTheme="minorBidi" w:cstheme="minorBidi"/>
          <w:b/>
          <w:bCs/>
          <w:sz w:val="28"/>
          <w:szCs w:val="28"/>
        </w:rPr>
      </w:pPr>
      <w:r w:rsidRPr="003F53F4">
        <w:rPr>
          <w:rFonts w:asciiTheme="minorBidi" w:hAnsiTheme="minorBidi" w:cstheme="minorBidi"/>
          <w:b/>
          <w:bCs/>
          <w:sz w:val="28"/>
          <w:szCs w:val="28"/>
        </w:rPr>
        <w:t xml:space="preserve">Issued </w:t>
      </w:r>
      <w:proofErr w:type="gramStart"/>
      <w:r w:rsidRPr="003F53F4">
        <w:rPr>
          <w:rFonts w:asciiTheme="minorBidi" w:hAnsiTheme="minorBidi" w:cstheme="minorBidi"/>
          <w:b/>
          <w:bCs/>
          <w:sz w:val="28"/>
          <w:szCs w:val="28"/>
        </w:rPr>
        <w:t>on:</w:t>
      </w:r>
      <w:proofErr w:type="gramEnd"/>
      <w:r w:rsidRPr="003F53F4">
        <w:rPr>
          <w:rFonts w:asciiTheme="minorBidi" w:hAnsiTheme="minorBidi" w:cstheme="minorBidi"/>
          <w:b/>
          <w:bCs/>
          <w:sz w:val="28"/>
          <w:szCs w:val="28"/>
        </w:rPr>
        <w:t xml:space="preserve"> 18 Jumada al-Akhir 1446 AH</w:t>
      </w:r>
    </w:p>
    <w:p w14:paraId="0B0D297E" w14:textId="77777777" w:rsidR="0031580A" w:rsidRPr="003F53F4" w:rsidRDefault="0031580A" w:rsidP="00045972">
      <w:pPr>
        <w:jc w:val="right"/>
        <w:rPr>
          <w:rFonts w:asciiTheme="minorBidi" w:hAnsiTheme="minorBidi" w:cstheme="minorBidi"/>
          <w:b/>
          <w:bCs/>
          <w:sz w:val="28"/>
          <w:szCs w:val="28"/>
        </w:rPr>
      </w:pPr>
      <w:r w:rsidRPr="003F53F4">
        <w:rPr>
          <w:rFonts w:asciiTheme="minorBidi" w:hAnsiTheme="minorBidi" w:cstheme="minorBidi"/>
          <w:b/>
          <w:bCs/>
          <w:sz w:val="28"/>
          <w:szCs w:val="28"/>
        </w:rPr>
        <w:t>Corresponding to: 19 December 2024</w:t>
      </w:r>
    </w:p>
    <w:sectPr w:rsidR="0031580A" w:rsidRPr="003F53F4" w:rsidSect="00BE7FBE">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178EC" w14:textId="77777777" w:rsidR="00EE36CA" w:rsidRDefault="00EE36CA" w:rsidP="00BE7FBE">
      <w:pPr>
        <w:spacing w:after="0" w:line="240" w:lineRule="auto"/>
      </w:pPr>
      <w:r>
        <w:separator/>
      </w:r>
    </w:p>
  </w:endnote>
  <w:endnote w:type="continuationSeparator" w:id="0">
    <w:p w14:paraId="40D93EC5" w14:textId="77777777" w:rsidR="00EE36CA" w:rsidRDefault="00EE36CA" w:rsidP="00BE7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0A484" w14:textId="77777777" w:rsidR="00BE7FBE" w:rsidRDefault="00BE7F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D9426" w14:textId="77777777" w:rsidR="00BE7FBE" w:rsidRDefault="00BE7F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0EDA8" w14:textId="77777777" w:rsidR="00BE7FBE" w:rsidRDefault="00BE7F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FB920" w14:textId="77777777" w:rsidR="00EE36CA" w:rsidRDefault="00EE36CA" w:rsidP="00BE7FBE">
      <w:pPr>
        <w:spacing w:after="0" w:line="240" w:lineRule="auto"/>
      </w:pPr>
      <w:r>
        <w:separator/>
      </w:r>
    </w:p>
  </w:footnote>
  <w:footnote w:type="continuationSeparator" w:id="0">
    <w:p w14:paraId="4594AB36" w14:textId="77777777" w:rsidR="00EE36CA" w:rsidRDefault="00EE36CA" w:rsidP="00BE7F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2A34" w14:textId="77777777" w:rsidR="00BE7FBE" w:rsidRDefault="00BE7F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C2D82" w14:textId="6E5E6306" w:rsidR="00BE7FBE" w:rsidRDefault="00BE7F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53E81" w14:textId="77777777" w:rsidR="00BE7FBE" w:rsidRDefault="00BE7F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80A"/>
    <w:rsid w:val="00045972"/>
    <w:rsid w:val="002F4734"/>
    <w:rsid w:val="0031580A"/>
    <w:rsid w:val="00354D31"/>
    <w:rsid w:val="003A4F24"/>
    <w:rsid w:val="003F53F4"/>
    <w:rsid w:val="00682616"/>
    <w:rsid w:val="006E740B"/>
    <w:rsid w:val="00703689"/>
    <w:rsid w:val="007A547F"/>
    <w:rsid w:val="008A599A"/>
    <w:rsid w:val="009B13DC"/>
    <w:rsid w:val="00B83053"/>
    <w:rsid w:val="00BE7FBE"/>
    <w:rsid w:val="00E278C8"/>
    <w:rsid w:val="00E51CB5"/>
    <w:rsid w:val="00EE36CA"/>
    <w:rsid w:val="00F120B5"/>
    <w:rsid w:val="00F1739F"/>
    <w:rsid w:val="00F52D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64A24"/>
  <w15:chartTrackingRefBased/>
  <w15:docId w15:val="{C632E7C7-9ECA-4974-81D9-791C0252A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en-GB"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line="240" w:lineRule="auto"/>
    </w:pPr>
    <w:rPr>
      <w:rFonts w:ascii="Times New Roman" w:hAnsi="Times New Roman"/>
    </w:rPr>
  </w:style>
  <w:style w:type="paragraph" w:customStyle="1" w:styleId="msochpdefault">
    <w:name w:val="msochpdefault"/>
    <w:basedOn w:val="Normal"/>
    <w:pPr>
      <w:spacing w:before="100" w:beforeAutospacing="1" w:after="100" w:afterAutospacing="1" w:line="240" w:lineRule="auto"/>
    </w:pPr>
  </w:style>
  <w:style w:type="paragraph" w:customStyle="1" w:styleId="msopapdefault">
    <w:name w:val="msopapdefault"/>
    <w:basedOn w:val="Normal"/>
    <w:pPr>
      <w:spacing w:before="100" w:beforeAutospacing="1"/>
    </w:pPr>
    <w:rPr>
      <w:rFonts w:ascii="Times New Roman" w:hAnsi="Times New Roman"/>
    </w:rPr>
  </w:style>
  <w:style w:type="paragraph" w:styleId="Header">
    <w:name w:val="header"/>
    <w:basedOn w:val="Normal"/>
    <w:link w:val="HeaderChar"/>
    <w:uiPriority w:val="99"/>
    <w:unhideWhenUsed/>
    <w:rsid w:val="00BE7F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7FBE"/>
    <w:rPr>
      <w:rFonts w:eastAsiaTheme="minorEastAsia"/>
      <w:sz w:val="24"/>
      <w:szCs w:val="24"/>
    </w:rPr>
  </w:style>
  <w:style w:type="paragraph" w:styleId="Footer">
    <w:name w:val="footer"/>
    <w:basedOn w:val="Normal"/>
    <w:link w:val="FooterChar"/>
    <w:uiPriority w:val="99"/>
    <w:unhideWhenUsed/>
    <w:rsid w:val="00BE7F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7FBE"/>
    <w:rPr>
      <w:rFonts w:eastAsiaTheme="minorEastAsia"/>
      <w:sz w:val="24"/>
      <w:szCs w:val="24"/>
    </w:rPr>
  </w:style>
  <w:style w:type="paragraph" w:styleId="NormalWeb">
    <w:name w:val="Normal (Web)"/>
    <w:basedOn w:val="Normal"/>
    <w:uiPriority w:val="99"/>
    <w:semiHidden/>
    <w:unhideWhenUsed/>
    <w:rsid w:val="008A599A"/>
    <w:pPr>
      <w:spacing w:before="100" w:beforeAutospacing="1" w:after="100" w:afterAutospacing="1" w:line="240" w:lineRule="auto"/>
    </w:pPr>
    <w:rPr>
      <w:rFonts w:ascii="Times New Roman" w:eastAsia="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351</Words>
  <Characters>2005</Characters>
  <Application>Microsoft Office Word</Application>
  <DocSecurity>0</DocSecurity>
  <Lines>16</Lines>
  <Paragraphs>4</Paragraphs>
  <ScaleCrop>false</ScaleCrop>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قرار وزير الداخلية رقم (119) لسنة 2024 بتعديل بعض أحكام القرار رقم (196) لسنة 2014 بشأن الرسوم الخاصة بخدمات الإدارة العامة للجنسية والجوازات والإقامة</dc:title>
  <dc:subject/>
  <dc:creator>فيصل فايز البلوشي</dc:creator>
  <cp:keywords/>
  <dc:description/>
  <cp:lastModifiedBy>عبدالعزيز خالد المطوع</cp:lastModifiedBy>
  <cp:revision>9</cp:revision>
  <dcterms:created xsi:type="dcterms:W3CDTF">2025-08-25T07:13:00Z</dcterms:created>
  <dcterms:modified xsi:type="dcterms:W3CDTF">2026-07-22T08:16:00Z</dcterms:modified>
</cp:coreProperties>
</file>