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55F87" w14:textId="77777777" w:rsidR="002F6B70" w:rsidRPr="002F6B70" w:rsidRDefault="002F6B70" w:rsidP="005948D9">
      <w:pPr>
        <w:spacing w:before="120" w:after="0" w:line="360" w:lineRule="auto"/>
        <w:rPr>
          <w:rFonts w:ascii="Arial" w:eastAsia="Times New Roman" w:hAnsi="Arial" w:cs="Arial"/>
          <w:b/>
          <w:bCs/>
          <w:sz w:val="28"/>
          <w:szCs w:val="28"/>
          <w:lang w:val="en-GB"/>
        </w:rPr>
      </w:pPr>
      <w:r w:rsidRPr="002F6B70">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B4EA91E" w14:textId="77777777" w:rsidR="002F6B70" w:rsidRPr="002F6B70" w:rsidRDefault="002F6B70" w:rsidP="005948D9">
      <w:pPr>
        <w:spacing w:before="120" w:after="0" w:line="360" w:lineRule="auto"/>
        <w:rPr>
          <w:rFonts w:ascii="Arial" w:eastAsia="Times New Roman" w:hAnsi="Arial" w:cs="Arial"/>
          <w:b/>
          <w:bCs/>
          <w:sz w:val="28"/>
          <w:szCs w:val="28"/>
          <w:lang w:val="en-GB"/>
        </w:rPr>
      </w:pPr>
      <w:r w:rsidRPr="002F6B70">
        <w:rPr>
          <w:rFonts w:ascii="Arial" w:eastAsia="Times New Roman" w:hAnsi="Arial" w:cs="Arial"/>
          <w:b/>
          <w:bCs/>
          <w:sz w:val="28"/>
          <w:szCs w:val="28"/>
          <w:lang w:val="en-GB"/>
        </w:rPr>
        <w:t>For any corrections, remarks, or suggestions, kindly contact us on translate@lloc.gov.bh</w:t>
      </w:r>
    </w:p>
    <w:p w14:paraId="03BAAD08" w14:textId="77777777" w:rsidR="002F6B70" w:rsidRPr="002F6B70" w:rsidRDefault="002F6B70" w:rsidP="005948D9">
      <w:pPr>
        <w:spacing w:before="120" w:after="0" w:line="360" w:lineRule="auto"/>
        <w:rPr>
          <w:rFonts w:ascii="Arial" w:eastAsia="Times New Roman" w:hAnsi="Arial" w:cs="Arial"/>
          <w:b/>
          <w:bCs/>
          <w:sz w:val="28"/>
          <w:szCs w:val="28"/>
          <w:lang w:val="en-GB"/>
        </w:rPr>
      </w:pPr>
      <w:r w:rsidRPr="002F6B70">
        <w:rPr>
          <w:rFonts w:ascii="Arial" w:eastAsia="Times New Roman" w:hAnsi="Arial" w:cs="Arial"/>
          <w:b/>
          <w:bCs/>
          <w:sz w:val="28"/>
          <w:szCs w:val="28"/>
          <w:lang w:val="en-GB"/>
        </w:rPr>
        <w:t>Published on the website on May 2024</w:t>
      </w:r>
      <w:r w:rsidRPr="002F6B70">
        <w:rPr>
          <w:rFonts w:ascii="Arial" w:eastAsia="Times New Roman" w:hAnsi="Arial" w:cs="Arial"/>
          <w:b/>
          <w:bCs/>
          <w:sz w:val="28"/>
          <w:szCs w:val="28"/>
          <w:lang w:val="en-GB"/>
        </w:rPr>
        <w:br w:type="page"/>
      </w:r>
    </w:p>
    <w:p w14:paraId="2B8CCA2C"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b/>
          <w:bCs/>
          <w:sz w:val="28"/>
          <w:szCs w:val="28"/>
          <w:lang w:val="en-GB"/>
        </w:rPr>
        <w:lastRenderedPageBreak/>
        <w:t>Ministry of Industry, Commerce and Tourism </w:t>
      </w:r>
    </w:p>
    <w:p w14:paraId="5334D1A6"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b/>
          <w:bCs/>
          <w:sz w:val="28"/>
          <w:szCs w:val="28"/>
          <w:lang w:val="en-GB"/>
        </w:rPr>
        <w:t>Decision No. (82) of 2019 cancelling the Fees Charged for some Services referred to in Decision No. (102) of 2018 determining the Categories of Fees Due for the Registration of Patents and Utility Models </w:t>
      </w:r>
    </w:p>
    <w:p w14:paraId="2C5BBB13"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br w:type="page"/>
      </w:r>
    </w:p>
    <w:p w14:paraId="5624A5B6"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The Minister of Industry, Commerce and Tourism: </w:t>
      </w:r>
    </w:p>
    <w:p w14:paraId="56F620D7"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Having reviewed Decision No. (102) of 2018 determining the Categories of Fees Due for the Registration of Patents and Utility Models; </w:t>
      </w:r>
    </w:p>
    <w:p w14:paraId="3B56BD42"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And upon the submission of the for Commerce Affairs, </w:t>
      </w:r>
    </w:p>
    <w:p w14:paraId="09A76F10"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And after the approval of the Council of Ministers; </w:t>
      </w:r>
    </w:p>
    <w:p w14:paraId="775C635E"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b/>
          <w:bCs/>
          <w:sz w:val="28"/>
          <w:szCs w:val="28"/>
          <w:lang w:val="en-GB"/>
        </w:rPr>
        <w:t>Hereby Decides: </w:t>
      </w:r>
    </w:p>
    <w:p w14:paraId="2E5D13F2"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b/>
          <w:bCs/>
          <w:sz w:val="28"/>
          <w:szCs w:val="28"/>
          <w:lang w:val="en-GB"/>
        </w:rPr>
        <w:t>Article One </w:t>
      </w:r>
    </w:p>
    <w:p w14:paraId="43D2FC10"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The fees imposed on some services mentioned in Decision No. (102) of 2018 Categories of Fees Due for the Registration of Patents and Utility Models shall be repealed, as follows: </w:t>
      </w:r>
    </w:p>
    <w:p w14:paraId="101CC0CA"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1- Registering the (optional) licensing contract in the patent register for individuals. </w:t>
      </w:r>
    </w:p>
    <w:p w14:paraId="3A1CCA18"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2- Registering the (optional) licensing contract in the patent register for companies. </w:t>
      </w:r>
    </w:p>
    <w:p w14:paraId="7D81C3D8"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3- Application for provisional patent protection for individuals. </w:t>
      </w:r>
    </w:p>
    <w:p w14:paraId="76434075"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4- Application for provisional patent protection for companies. </w:t>
      </w:r>
    </w:p>
    <w:p w14:paraId="0D0CC69D"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5- Obtaining extracts and copies of records, applications, and patent data for individuals. </w:t>
      </w:r>
    </w:p>
    <w:p w14:paraId="3E2C1D1F"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6- Obtaining extracts and copies of records, applications, and patent data for companies. </w:t>
      </w:r>
    </w:p>
    <w:p w14:paraId="3D660EEB"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7- Cancellation of a patent for individuals. </w:t>
      </w:r>
    </w:p>
    <w:p w14:paraId="0F57335A"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8- Cancellation of a patent for companies. </w:t>
      </w:r>
    </w:p>
    <w:p w14:paraId="1F59BF57"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9- Registering the (optional) licensing contract in the utility models register for individuals. </w:t>
      </w:r>
    </w:p>
    <w:p w14:paraId="510E368F"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10- Registering the (optional) licensing contract in the utility models register for companies. </w:t>
      </w:r>
    </w:p>
    <w:p w14:paraId="294FF081"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11- Application for provisional utility model protection for individuals. </w:t>
      </w:r>
    </w:p>
    <w:p w14:paraId="7ACA558F"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12- Application for provisional utility model protection for companies. </w:t>
      </w:r>
    </w:p>
    <w:p w14:paraId="3F4140D7"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13- Obtaining extracts and copies of records data, applications, and patents of utility models for individuals. </w:t>
      </w:r>
    </w:p>
    <w:p w14:paraId="4561558B"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14- Obtaining extracts and copies of records data, applications, and patents of utility models for companies. </w:t>
      </w:r>
    </w:p>
    <w:p w14:paraId="421B7C61"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15- Cancellation of a utility model patent for individuals. </w:t>
      </w:r>
    </w:p>
    <w:p w14:paraId="337F68A2"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16- Cancellation of a utility model patent for companies. </w:t>
      </w:r>
    </w:p>
    <w:p w14:paraId="39DDEF0F"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b/>
          <w:bCs/>
          <w:sz w:val="28"/>
          <w:szCs w:val="28"/>
          <w:lang w:val="en-GB"/>
        </w:rPr>
        <w:t>Article Two </w:t>
      </w:r>
    </w:p>
    <w:p w14:paraId="1228F4FC"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The Undersecretary for Commerce Affairs shall implement this Decision, and it shall come into force from the day following the date of its publication in the Official Gazette. </w:t>
      </w:r>
    </w:p>
    <w:p w14:paraId="484B158D"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b/>
          <w:bCs/>
          <w:sz w:val="28"/>
          <w:szCs w:val="28"/>
          <w:lang w:val="en-GB"/>
        </w:rPr>
        <w:t>Minister of Industry, Commerce and Tourism </w:t>
      </w:r>
    </w:p>
    <w:p w14:paraId="0386B04C"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b/>
          <w:bCs/>
          <w:sz w:val="28"/>
          <w:szCs w:val="28"/>
          <w:lang w:val="en-GB"/>
        </w:rPr>
        <w:t>Zayed bin Rashid Al Zayani </w:t>
      </w:r>
    </w:p>
    <w:p w14:paraId="61260091"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Issued on: 6 Dhu al-Hijjah 1440 A.H. </w:t>
      </w:r>
    </w:p>
    <w:p w14:paraId="09F093EB" w14:textId="77777777" w:rsidR="002F6B70" w:rsidRPr="002F6B70" w:rsidRDefault="002F6B70" w:rsidP="005948D9">
      <w:pPr>
        <w:spacing w:before="120" w:after="0" w:line="360" w:lineRule="auto"/>
        <w:rPr>
          <w:rFonts w:ascii="Arial" w:eastAsia="Times New Roman" w:hAnsi="Arial" w:cs="Arial"/>
          <w:sz w:val="28"/>
          <w:szCs w:val="28"/>
          <w:lang w:val="en-GB"/>
        </w:rPr>
      </w:pPr>
      <w:r w:rsidRPr="002F6B70">
        <w:rPr>
          <w:rFonts w:ascii="Arial" w:eastAsia="Times New Roman" w:hAnsi="Arial" w:cs="Arial"/>
          <w:sz w:val="28"/>
          <w:szCs w:val="28"/>
          <w:lang w:val="en-GB"/>
        </w:rPr>
        <w:t>Corresponding to: 7 August 2019 </w:t>
      </w:r>
    </w:p>
    <w:p w14:paraId="6D675EA8" w14:textId="77777777" w:rsidR="002F6B70" w:rsidRPr="002F6B70" w:rsidRDefault="002F6B70" w:rsidP="005948D9">
      <w:pPr>
        <w:spacing w:before="120" w:after="0" w:line="360" w:lineRule="auto"/>
        <w:rPr>
          <w:rFonts w:ascii="Arial" w:eastAsia="Times New Roman" w:hAnsi="Arial" w:cs="Arial"/>
          <w:b/>
          <w:bCs/>
          <w:sz w:val="28"/>
          <w:szCs w:val="28"/>
        </w:rPr>
      </w:pPr>
    </w:p>
    <w:p w14:paraId="31A74D64" w14:textId="77777777" w:rsidR="002F6B70" w:rsidRPr="002F6B70" w:rsidRDefault="002F6B70" w:rsidP="005948D9">
      <w:pPr>
        <w:spacing w:before="120" w:after="0" w:line="360" w:lineRule="auto"/>
        <w:rPr>
          <w:rFonts w:ascii="Arial" w:hAnsi="Arial" w:cs="Arial"/>
          <w:sz w:val="28"/>
          <w:szCs w:val="28"/>
        </w:rPr>
      </w:pPr>
    </w:p>
    <w:sectPr w:rsidR="002F6B70" w:rsidRPr="002F6B70" w:rsidSect="00340F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70"/>
    <w:rsid w:val="000129C5"/>
    <w:rsid w:val="002F6B70"/>
    <w:rsid w:val="00340F61"/>
    <w:rsid w:val="00435380"/>
    <w:rsid w:val="005948D9"/>
    <w:rsid w:val="00946F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1BE52"/>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2024-05-14T09:50:00Z</dcterms:created>
  <dcterms:modified xsi:type="dcterms:W3CDTF">2024-05-15T18:26:00Z</dcterms:modified>
</cp:coreProperties>
</file>