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E3EAC" w14:textId="77777777" w:rsidR="00EC7797" w:rsidRPr="007116AC" w:rsidRDefault="00EC7797" w:rsidP="00EA071F">
      <w:pPr>
        <w:spacing w:before="120" w:after="0" w:line="360" w:lineRule="auto"/>
        <w:rPr>
          <w:rFonts w:asciiTheme="majorBidi" w:eastAsia="Times New Roman" w:hAnsiTheme="majorBidi" w:cstheme="majorBidi"/>
          <w:i/>
          <w:iCs/>
          <w:sz w:val="28"/>
          <w:szCs w:val="28"/>
          <w:lang w:val="en-GB"/>
        </w:rPr>
      </w:pPr>
      <w:r w:rsidRPr="007116AC">
        <w:rPr>
          <w:rFonts w:asciiTheme="majorBidi" w:eastAsia="Times New Roman" w:hAnsiTheme="majorBidi" w:cstheme="majorBidi"/>
          <w:b/>
          <w:bCs/>
          <w:i/>
          <w:iCs/>
          <w:sz w:val="28"/>
          <w:szCs w:val="28"/>
          <w:lang w:val="en-GB"/>
        </w:rPr>
        <w:t>Disclaimer</w:t>
      </w:r>
      <w:r w:rsidRPr="007116AC">
        <w:rPr>
          <w:rFonts w:asciiTheme="majorBidi" w:eastAsia="Times New Roman" w:hAnsiTheme="majorBidi" w:cstheme="majorBidi"/>
          <w:i/>
          <w:iCs/>
          <w:sz w:val="28"/>
          <w:szCs w:val="28"/>
          <w:lang w:val="en-GB"/>
        </w:rPr>
        <w:t>: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C172CEB" w14:textId="77777777" w:rsidR="00EC7797" w:rsidRPr="007116AC" w:rsidRDefault="00EC7797" w:rsidP="00EA071F">
      <w:pPr>
        <w:spacing w:before="120" w:after="0" w:line="360" w:lineRule="auto"/>
        <w:rPr>
          <w:rFonts w:asciiTheme="majorBidi" w:eastAsia="Times New Roman" w:hAnsiTheme="majorBidi" w:cstheme="majorBidi"/>
          <w:i/>
          <w:iCs/>
          <w:sz w:val="28"/>
          <w:szCs w:val="28"/>
          <w:lang w:val="en-GB"/>
        </w:rPr>
      </w:pPr>
      <w:r w:rsidRPr="007116AC">
        <w:rPr>
          <w:rFonts w:asciiTheme="majorBidi" w:eastAsia="Times New Roman" w:hAnsiTheme="majorBidi" w:cstheme="majorBidi"/>
          <w:i/>
          <w:iCs/>
          <w:sz w:val="28"/>
          <w:szCs w:val="28"/>
          <w:lang w:val="en-GB"/>
        </w:rPr>
        <w:t>For any corrections, remarks, or suggestions, kindly contact us on translate@lloc.gov.bh</w:t>
      </w:r>
    </w:p>
    <w:p w14:paraId="30230472" w14:textId="77777777" w:rsidR="00EC7797" w:rsidRPr="007116AC" w:rsidRDefault="00EC7797" w:rsidP="00EA071F">
      <w:pPr>
        <w:spacing w:before="120" w:after="0" w:line="360" w:lineRule="auto"/>
        <w:rPr>
          <w:rFonts w:asciiTheme="majorBidi" w:eastAsia="Times New Roman" w:hAnsiTheme="majorBidi" w:cstheme="majorBidi"/>
          <w:i/>
          <w:iCs/>
          <w:sz w:val="28"/>
          <w:szCs w:val="28"/>
          <w:lang w:val="en-GB"/>
        </w:rPr>
      </w:pPr>
      <w:r w:rsidRPr="007116AC">
        <w:rPr>
          <w:rFonts w:asciiTheme="majorBidi" w:eastAsia="Times New Roman" w:hAnsiTheme="majorBidi" w:cstheme="majorBidi"/>
          <w:i/>
          <w:iCs/>
          <w:sz w:val="28"/>
          <w:szCs w:val="28"/>
          <w:lang w:val="en-GB"/>
        </w:rPr>
        <w:t>Published on the website on May 2024</w:t>
      </w:r>
      <w:r w:rsidRPr="007116AC">
        <w:rPr>
          <w:rFonts w:asciiTheme="majorBidi" w:eastAsia="Times New Roman" w:hAnsiTheme="majorBidi" w:cstheme="majorBidi"/>
          <w:i/>
          <w:iCs/>
          <w:sz w:val="28"/>
          <w:szCs w:val="28"/>
          <w:lang w:val="en-GB"/>
        </w:rPr>
        <w:br w:type="page"/>
      </w:r>
    </w:p>
    <w:p w14:paraId="4A6E516B" w14:textId="77777777" w:rsidR="00EC7797" w:rsidRPr="00EC7797" w:rsidRDefault="00EC7797" w:rsidP="00EA071F">
      <w:pPr>
        <w:spacing w:before="120" w:after="0" w:line="360" w:lineRule="auto"/>
        <w:rPr>
          <w:rFonts w:ascii="Arial" w:eastAsia="Times New Roman" w:hAnsi="Arial" w:cs="Arial"/>
          <w:sz w:val="28"/>
          <w:szCs w:val="28"/>
          <w:lang w:val="en-GB"/>
        </w:rPr>
      </w:pPr>
      <w:r w:rsidRPr="00EC7797">
        <w:rPr>
          <w:rFonts w:ascii="Arial" w:eastAsia="Times New Roman" w:hAnsi="Arial" w:cs="Arial"/>
          <w:b/>
          <w:bCs/>
          <w:sz w:val="28"/>
          <w:szCs w:val="28"/>
          <w:lang w:val="en-GB"/>
        </w:rPr>
        <w:lastRenderedPageBreak/>
        <w:t>Decision No. (14) of 2020 regarding the Amendment of the Tables Attached to Law No. (15) of 2007 regarding Narcotic Drugs and Psychotropic Substances by adding Substances of the Second Group in Table No. (4) thereof </w:t>
      </w:r>
    </w:p>
    <w:p w14:paraId="05366512" w14:textId="21891FCF" w:rsidR="00EC7797" w:rsidRPr="00EC7797" w:rsidRDefault="00EC7797" w:rsidP="00EA071F">
      <w:pPr>
        <w:spacing w:before="120" w:after="0" w:line="360" w:lineRule="auto"/>
        <w:rPr>
          <w:rFonts w:ascii="Arial" w:eastAsia="Times New Roman" w:hAnsi="Arial" w:cs="Arial"/>
          <w:sz w:val="28"/>
          <w:szCs w:val="28"/>
          <w:lang w:val="en-GB"/>
        </w:rPr>
      </w:pPr>
    </w:p>
    <w:p w14:paraId="12D005EF" w14:textId="77777777" w:rsidR="00EC7797" w:rsidRPr="00EC7797" w:rsidRDefault="00EC7797" w:rsidP="00EA071F">
      <w:pPr>
        <w:spacing w:before="120" w:after="0" w:line="360" w:lineRule="auto"/>
        <w:rPr>
          <w:rFonts w:ascii="Arial" w:eastAsia="Times New Roman" w:hAnsi="Arial" w:cs="Arial"/>
          <w:sz w:val="28"/>
          <w:szCs w:val="28"/>
          <w:lang w:val="en-GB"/>
        </w:rPr>
      </w:pPr>
      <w:r w:rsidRPr="00EC7797">
        <w:rPr>
          <w:rFonts w:ascii="Arial" w:eastAsia="Times New Roman" w:hAnsi="Arial" w:cs="Arial"/>
          <w:sz w:val="28"/>
          <w:szCs w:val="28"/>
          <w:lang w:val="en-GB"/>
        </w:rPr>
        <w:t>First Deputy of the Prime Minister: </w:t>
      </w:r>
    </w:p>
    <w:p w14:paraId="5180639C" w14:textId="77777777" w:rsidR="00EC7797" w:rsidRPr="00EC7797" w:rsidRDefault="00EC7797" w:rsidP="00EA071F">
      <w:pPr>
        <w:spacing w:before="120" w:after="0" w:line="360" w:lineRule="auto"/>
        <w:rPr>
          <w:rFonts w:ascii="Arial" w:eastAsia="Times New Roman" w:hAnsi="Arial" w:cs="Arial"/>
          <w:sz w:val="28"/>
          <w:szCs w:val="28"/>
          <w:lang w:val="en-GB"/>
        </w:rPr>
      </w:pPr>
      <w:r w:rsidRPr="00EC7797">
        <w:rPr>
          <w:rFonts w:ascii="Arial" w:eastAsia="Times New Roman" w:hAnsi="Arial" w:cs="Arial"/>
          <w:sz w:val="28"/>
          <w:szCs w:val="28"/>
          <w:lang w:val="en-GB"/>
        </w:rPr>
        <w:t>Having reviewed the Law No. (15) of 2007 regarding the Narcotic Drugs and Psychotropic Substances, in particular Article (4) thereof; </w:t>
      </w:r>
    </w:p>
    <w:p w14:paraId="457A43F1" w14:textId="77777777" w:rsidR="00EC7797" w:rsidRPr="00EC7797" w:rsidRDefault="00EC7797" w:rsidP="00EA071F">
      <w:pPr>
        <w:spacing w:before="120" w:after="0" w:line="360" w:lineRule="auto"/>
        <w:rPr>
          <w:rFonts w:ascii="Arial" w:eastAsia="Times New Roman" w:hAnsi="Arial" w:cs="Arial"/>
          <w:sz w:val="28"/>
          <w:szCs w:val="28"/>
          <w:lang w:val="en-GB"/>
        </w:rPr>
      </w:pPr>
      <w:r w:rsidRPr="00EC7797">
        <w:rPr>
          <w:rFonts w:ascii="Arial" w:eastAsia="Times New Roman" w:hAnsi="Arial" w:cs="Arial"/>
          <w:sz w:val="28"/>
          <w:szCs w:val="28"/>
          <w:lang w:val="en-GB"/>
        </w:rPr>
        <w:t>And Decision No. (20) of 2019 regarding the reformation of the Committee for Listing and Amending the Schedules of Narcotic Drugs and Psychotropic Substances; </w:t>
      </w:r>
    </w:p>
    <w:p w14:paraId="7E8D6072" w14:textId="77777777" w:rsidR="00EC7797" w:rsidRPr="00EC7797" w:rsidRDefault="00EC7797" w:rsidP="00EA071F">
      <w:pPr>
        <w:spacing w:before="120" w:after="0" w:line="360" w:lineRule="auto"/>
        <w:rPr>
          <w:rFonts w:ascii="Arial" w:eastAsia="Times New Roman" w:hAnsi="Arial" w:cs="Arial"/>
          <w:sz w:val="28"/>
          <w:szCs w:val="28"/>
          <w:lang w:val="en-GB"/>
        </w:rPr>
      </w:pPr>
      <w:r w:rsidRPr="00EC7797">
        <w:rPr>
          <w:rFonts w:ascii="Arial" w:eastAsia="Times New Roman" w:hAnsi="Arial" w:cs="Arial"/>
          <w:sz w:val="28"/>
          <w:szCs w:val="28"/>
          <w:lang w:val="en-GB"/>
        </w:rPr>
        <w:t>Upon the approval of the Committee for Listing and Amending the Schedules of Narcotic Drugs and Psychotropic Substances; </w:t>
      </w:r>
    </w:p>
    <w:p w14:paraId="10B9E4D6" w14:textId="77777777" w:rsidR="00EC7797" w:rsidRPr="00EC7797" w:rsidRDefault="00EC7797" w:rsidP="00EA071F">
      <w:pPr>
        <w:spacing w:before="120" w:after="0" w:line="360" w:lineRule="auto"/>
        <w:rPr>
          <w:rFonts w:ascii="Arial" w:eastAsia="Times New Roman" w:hAnsi="Arial" w:cs="Arial"/>
          <w:sz w:val="28"/>
          <w:szCs w:val="28"/>
          <w:lang w:val="en-GB"/>
        </w:rPr>
      </w:pPr>
      <w:r w:rsidRPr="00EC7797">
        <w:rPr>
          <w:rFonts w:ascii="Arial" w:eastAsia="Times New Roman" w:hAnsi="Arial" w:cs="Arial"/>
          <w:sz w:val="28"/>
          <w:szCs w:val="28"/>
          <w:lang w:val="en-GB"/>
        </w:rPr>
        <w:t>And upon the submission of the Minister of Health; </w:t>
      </w:r>
    </w:p>
    <w:p w14:paraId="468C9D1D" w14:textId="77777777" w:rsidR="00EC7797" w:rsidRPr="00EC7797" w:rsidRDefault="00EC7797" w:rsidP="00EA071F">
      <w:pPr>
        <w:spacing w:before="120" w:after="0" w:line="360" w:lineRule="auto"/>
        <w:rPr>
          <w:rFonts w:ascii="Arial" w:eastAsia="Times New Roman" w:hAnsi="Arial" w:cs="Arial"/>
          <w:sz w:val="28"/>
          <w:szCs w:val="28"/>
          <w:lang w:val="en-GB"/>
        </w:rPr>
      </w:pPr>
      <w:r w:rsidRPr="00EC7797">
        <w:rPr>
          <w:rFonts w:ascii="Arial" w:eastAsia="Times New Roman" w:hAnsi="Arial" w:cs="Arial"/>
          <w:sz w:val="28"/>
          <w:szCs w:val="28"/>
          <w:lang w:val="en-GB"/>
        </w:rPr>
        <w:t>And after the approval of the Council of Ministers, </w:t>
      </w:r>
    </w:p>
    <w:p w14:paraId="1B74444B" w14:textId="77777777" w:rsidR="00EC7797" w:rsidRPr="00EC7797" w:rsidRDefault="00EC7797" w:rsidP="00EA071F">
      <w:pPr>
        <w:spacing w:before="120" w:after="0" w:line="360" w:lineRule="auto"/>
        <w:rPr>
          <w:rFonts w:ascii="Arial" w:eastAsia="Times New Roman" w:hAnsi="Arial" w:cs="Arial"/>
          <w:sz w:val="28"/>
          <w:szCs w:val="28"/>
          <w:lang w:val="en-GB"/>
        </w:rPr>
      </w:pPr>
      <w:r w:rsidRPr="00EC7797">
        <w:rPr>
          <w:rFonts w:ascii="Arial" w:eastAsia="Times New Roman" w:hAnsi="Arial" w:cs="Arial"/>
          <w:b/>
          <w:bCs/>
          <w:sz w:val="28"/>
          <w:szCs w:val="28"/>
          <w:lang w:val="en-GB"/>
        </w:rPr>
        <w:t>Hereby Decides: </w:t>
      </w:r>
    </w:p>
    <w:p w14:paraId="566CB428" w14:textId="77777777" w:rsidR="00EC7797" w:rsidRPr="00EC7797" w:rsidRDefault="00EC7797" w:rsidP="00EA071F">
      <w:pPr>
        <w:spacing w:before="120" w:after="0" w:line="360" w:lineRule="auto"/>
        <w:rPr>
          <w:rFonts w:ascii="Arial" w:eastAsia="Times New Roman" w:hAnsi="Arial" w:cs="Arial"/>
          <w:sz w:val="28"/>
          <w:szCs w:val="28"/>
          <w:lang w:val="en-GB"/>
        </w:rPr>
      </w:pPr>
      <w:r w:rsidRPr="00EC7797">
        <w:rPr>
          <w:rFonts w:ascii="Arial" w:eastAsia="Times New Roman" w:hAnsi="Arial" w:cs="Arial"/>
          <w:b/>
          <w:bCs/>
          <w:sz w:val="28"/>
          <w:szCs w:val="28"/>
          <w:lang w:val="en-GB"/>
        </w:rPr>
        <w:t>Article One </w:t>
      </w:r>
    </w:p>
    <w:p w14:paraId="2348443D" w14:textId="77777777" w:rsidR="00EC7797" w:rsidRPr="00EC7797" w:rsidRDefault="00EC7797" w:rsidP="00EA071F">
      <w:pPr>
        <w:spacing w:before="120" w:after="0" w:line="360" w:lineRule="auto"/>
        <w:rPr>
          <w:rFonts w:ascii="Arial" w:eastAsia="Times New Roman" w:hAnsi="Arial" w:cs="Arial"/>
          <w:sz w:val="28"/>
          <w:szCs w:val="28"/>
          <w:lang w:val="en-GB"/>
        </w:rPr>
      </w:pPr>
      <w:r w:rsidRPr="00EC7797">
        <w:rPr>
          <w:rFonts w:ascii="Arial" w:eastAsia="Times New Roman" w:hAnsi="Arial" w:cs="Arial"/>
          <w:sz w:val="28"/>
          <w:szCs w:val="28"/>
          <w:lang w:val="en-GB"/>
        </w:rPr>
        <w:t>Two substances shall be added to the Second Group (Psychotropic Substances) Table No. (4) attached to Law No. (15) of 2007 regarding Narcotic Drugs and Psychotropic Substances: </w:t>
      </w:r>
    </w:p>
    <w:p w14:paraId="266EAC9B" w14:textId="77777777" w:rsidR="00EC7797" w:rsidRPr="00EC7797" w:rsidRDefault="00EC7797" w:rsidP="00EA071F">
      <w:pPr>
        <w:spacing w:before="120" w:after="0" w:line="360" w:lineRule="auto"/>
        <w:rPr>
          <w:rFonts w:ascii="Arial" w:eastAsia="Times New Roman" w:hAnsi="Arial" w:cs="Arial"/>
          <w:sz w:val="28"/>
          <w:szCs w:val="28"/>
          <w:lang w:val="en-GB"/>
        </w:rPr>
      </w:pPr>
      <w:r w:rsidRPr="00EC7797">
        <w:rPr>
          <w:rFonts w:ascii="Arial" w:eastAsia="Times New Roman" w:hAnsi="Arial" w:cs="Arial"/>
          <w:sz w:val="28"/>
          <w:szCs w:val="28"/>
          <w:lang w:val="en-GB"/>
        </w:rPr>
        <w:t>- Pregabalin (Pregabalin) </w:t>
      </w:r>
    </w:p>
    <w:p w14:paraId="7EE084FB" w14:textId="77777777" w:rsidR="00EC7797" w:rsidRPr="00EC7797" w:rsidRDefault="00EC7797" w:rsidP="00EA071F">
      <w:pPr>
        <w:spacing w:before="120" w:after="0" w:line="360" w:lineRule="auto"/>
        <w:rPr>
          <w:rFonts w:ascii="Arial" w:eastAsia="Times New Roman" w:hAnsi="Arial" w:cs="Arial"/>
          <w:sz w:val="28"/>
          <w:szCs w:val="28"/>
          <w:lang w:val="en-GB"/>
        </w:rPr>
      </w:pPr>
      <w:r w:rsidRPr="00EC7797">
        <w:rPr>
          <w:rFonts w:ascii="Arial" w:eastAsia="Times New Roman" w:hAnsi="Arial" w:cs="Arial"/>
          <w:sz w:val="28"/>
          <w:szCs w:val="28"/>
          <w:lang w:val="en-GB"/>
        </w:rPr>
        <w:t>- Gabapentin (Pregabalin) </w:t>
      </w:r>
    </w:p>
    <w:p w14:paraId="2E17D1A5" w14:textId="77777777" w:rsidR="007116AC" w:rsidRDefault="007116AC" w:rsidP="00EA071F">
      <w:pPr>
        <w:spacing w:before="120" w:after="0" w:line="360" w:lineRule="auto"/>
        <w:rPr>
          <w:rFonts w:ascii="Arial" w:eastAsia="Times New Roman" w:hAnsi="Arial" w:cs="Arial"/>
          <w:b/>
          <w:bCs/>
          <w:sz w:val="28"/>
          <w:szCs w:val="28"/>
          <w:lang w:val="en-GB"/>
        </w:rPr>
      </w:pPr>
    </w:p>
    <w:p w14:paraId="3C565BDC" w14:textId="77777777" w:rsidR="007116AC" w:rsidRDefault="007116AC" w:rsidP="00EA071F">
      <w:pPr>
        <w:spacing w:before="120" w:after="0" w:line="360" w:lineRule="auto"/>
        <w:rPr>
          <w:rFonts w:ascii="Arial" w:eastAsia="Times New Roman" w:hAnsi="Arial" w:cs="Arial"/>
          <w:b/>
          <w:bCs/>
          <w:sz w:val="28"/>
          <w:szCs w:val="28"/>
          <w:lang w:val="en-GB"/>
        </w:rPr>
      </w:pPr>
    </w:p>
    <w:p w14:paraId="4E9201D9" w14:textId="77777777" w:rsidR="007116AC" w:rsidRDefault="007116AC" w:rsidP="00EA071F">
      <w:pPr>
        <w:spacing w:before="120" w:after="0" w:line="360" w:lineRule="auto"/>
        <w:rPr>
          <w:rFonts w:ascii="Arial" w:eastAsia="Times New Roman" w:hAnsi="Arial" w:cs="Arial"/>
          <w:b/>
          <w:bCs/>
          <w:sz w:val="28"/>
          <w:szCs w:val="28"/>
          <w:lang w:val="en-GB"/>
        </w:rPr>
      </w:pPr>
    </w:p>
    <w:p w14:paraId="065A86C0" w14:textId="580EE5C8" w:rsidR="00EC7797" w:rsidRPr="00EC7797" w:rsidRDefault="00EC7797" w:rsidP="00EA071F">
      <w:pPr>
        <w:spacing w:before="120" w:after="0" w:line="360" w:lineRule="auto"/>
        <w:rPr>
          <w:rFonts w:ascii="Arial" w:eastAsia="Times New Roman" w:hAnsi="Arial" w:cs="Arial"/>
          <w:sz w:val="28"/>
          <w:szCs w:val="28"/>
          <w:lang w:val="en-GB"/>
        </w:rPr>
      </w:pPr>
      <w:r w:rsidRPr="00EC7797">
        <w:rPr>
          <w:rFonts w:ascii="Arial" w:eastAsia="Times New Roman" w:hAnsi="Arial" w:cs="Arial"/>
          <w:b/>
          <w:bCs/>
          <w:sz w:val="28"/>
          <w:szCs w:val="28"/>
          <w:lang w:val="en-GB"/>
        </w:rPr>
        <w:lastRenderedPageBreak/>
        <w:t>Article Two </w:t>
      </w:r>
    </w:p>
    <w:p w14:paraId="59F02713" w14:textId="77777777" w:rsidR="00EC7797" w:rsidRPr="00EC7797" w:rsidRDefault="00EC7797" w:rsidP="00EA071F">
      <w:pPr>
        <w:spacing w:before="120" w:after="0" w:line="360" w:lineRule="auto"/>
        <w:rPr>
          <w:rFonts w:ascii="Arial" w:eastAsia="Times New Roman" w:hAnsi="Arial" w:cs="Arial"/>
          <w:sz w:val="28"/>
          <w:szCs w:val="28"/>
          <w:lang w:val="en-GB"/>
        </w:rPr>
      </w:pPr>
      <w:r w:rsidRPr="00EC7797">
        <w:rPr>
          <w:rFonts w:ascii="Arial" w:eastAsia="Times New Roman" w:hAnsi="Arial" w:cs="Arial"/>
          <w:sz w:val="28"/>
          <w:szCs w:val="28"/>
          <w:lang w:val="en-GB"/>
        </w:rPr>
        <w:t>The Ministers - each within his jurisdiction - shall implement the provisions of this Decision, and it shall come into force from the day following the date of its publication in the Official Gazette. </w:t>
      </w:r>
    </w:p>
    <w:p w14:paraId="6D17EE00" w14:textId="77777777" w:rsidR="00EC7797" w:rsidRPr="00EC7797" w:rsidRDefault="00EC7797" w:rsidP="00EA071F">
      <w:pPr>
        <w:spacing w:before="120" w:after="0" w:line="360" w:lineRule="auto"/>
        <w:rPr>
          <w:rFonts w:ascii="Arial" w:eastAsia="Times New Roman" w:hAnsi="Arial" w:cs="Arial"/>
          <w:sz w:val="28"/>
          <w:szCs w:val="28"/>
          <w:lang w:val="en-GB"/>
        </w:rPr>
      </w:pPr>
      <w:r w:rsidRPr="00EC7797">
        <w:rPr>
          <w:rFonts w:ascii="Arial" w:eastAsia="Times New Roman" w:hAnsi="Arial" w:cs="Arial"/>
          <w:b/>
          <w:bCs/>
          <w:sz w:val="28"/>
          <w:szCs w:val="28"/>
          <w:lang w:val="en-GB"/>
        </w:rPr>
        <w:t>First Deputy of the Prime Minister </w:t>
      </w:r>
    </w:p>
    <w:p w14:paraId="4A1257A2" w14:textId="77777777" w:rsidR="00EC7797" w:rsidRPr="00EC7797" w:rsidRDefault="00EC7797" w:rsidP="00EA071F">
      <w:pPr>
        <w:spacing w:before="120" w:after="0" w:line="360" w:lineRule="auto"/>
        <w:rPr>
          <w:rFonts w:ascii="Arial" w:eastAsia="Times New Roman" w:hAnsi="Arial" w:cs="Arial"/>
          <w:sz w:val="28"/>
          <w:szCs w:val="28"/>
          <w:lang w:val="en-GB"/>
        </w:rPr>
      </w:pPr>
      <w:r w:rsidRPr="00EC7797">
        <w:rPr>
          <w:rFonts w:ascii="Arial" w:eastAsia="Times New Roman" w:hAnsi="Arial" w:cs="Arial"/>
          <w:b/>
          <w:bCs/>
          <w:sz w:val="28"/>
          <w:szCs w:val="28"/>
          <w:lang w:val="en-GB"/>
        </w:rPr>
        <w:t>Salman bin Hamad Al Khalifa </w:t>
      </w:r>
    </w:p>
    <w:p w14:paraId="3CB8AF67" w14:textId="77777777" w:rsidR="00EC7797" w:rsidRPr="00EC7797" w:rsidRDefault="00EC7797" w:rsidP="00EA071F">
      <w:pPr>
        <w:spacing w:before="120" w:after="0" w:line="360" w:lineRule="auto"/>
        <w:rPr>
          <w:rFonts w:ascii="Arial" w:eastAsia="Times New Roman" w:hAnsi="Arial" w:cs="Arial"/>
          <w:sz w:val="28"/>
          <w:szCs w:val="28"/>
          <w:lang w:val="en-GB"/>
        </w:rPr>
      </w:pPr>
      <w:r w:rsidRPr="00EC7797">
        <w:rPr>
          <w:rFonts w:ascii="Arial" w:eastAsia="Times New Roman" w:hAnsi="Arial" w:cs="Arial"/>
          <w:sz w:val="28"/>
          <w:szCs w:val="28"/>
          <w:lang w:val="en-GB"/>
        </w:rPr>
        <w:t>Issued on: 18 Safaar 1442 A.H. </w:t>
      </w:r>
    </w:p>
    <w:p w14:paraId="142DDC2F" w14:textId="77777777" w:rsidR="00EC7797" w:rsidRPr="00EC7797" w:rsidRDefault="00EC7797" w:rsidP="00EA071F">
      <w:pPr>
        <w:spacing w:before="120" w:after="0" w:line="360" w:lineRule="auto"/>
        <w:rPr>
          <w:rFonts w:ascii="Arial" w:eastAsia="Times New Roman" w:hAnsi="Arial" w:cs="Arial"/>
          <w:sz w:val="28"/>
          <w:szCs w:val="28"/>
          <w:lang w:val="en-GB"/>
        </w:rPr>
      </w:pPr>
      <w:r w:rsidRPr="00EC7797">
        <w:rPr>
          <w:rFonts w:ascii="Arial" w:eastAsia="Times New Roman" w:hAnsi="Arial" w:cs="Arial"/>
          <w:sz w:val="28"/>
          <w:szCs w:val="28"/>
          <w:lang w:val="en-GB"/>
        </w:rPr>
        <w:t>Corresponding to: 5 October 2020 </w:t>
      </w:r>
    </w:p>
    <w:p w14:paraId="3E64C1C7" w14:textId="77777777" w:rsidR="00EC7797" w:rsidRPr="00EC7797" w:rsidRDefault="00EC7797" w:rsidP="00EA071F">
      <w:pPr>
        <w:spacing w:before="120" w:after="0" w:line="360" w:lineRule="auto"/>
        <w:rPr>
          <w:rFonts w:ascii="Arial" w:eastAsia="Times New Roman" w:hAnsi="Arial" w:cs="Arial"/>
          <w:b/>
          <w:bCs/>
          <w:sz w:val="28"/>
          <w:szCs w:val="28"/>
        </w:rPr>
      </w:pPr>
    </w:p>
    <w:p w14:paraId="3A6ACCCE" w14:textId="3B086335" w:rsidR="00EC7797" w:rsidRPr="00EC7797" w:rsidRDefault="007116AC" w:rsidP="00EA071F">
      <w:pPr>
        <w:spacing w:before="120" w:after="0" w:line="360" w:lineRule="auto"/>
        <w:rPr>
          <w:rFonts w:ascii="Arial" w:hAnsi="Arial" w:cs="Arial"/>
          <w:sz w:val="28"/>
          <w:szCs w:val="28"/>
        </w:rPr>
      </w:pPr>
      <w:r>
        <w:rPr>
          <w:rFonts w:ascii="Arial" w:hAnsi="Arial" w:cs="Arial"/>
          <w:noProof/>
          <w:sz w:val="28"/>
          <w:szCs w:val="28"/>
        </w:rPr>
        <w:drawing>
          <wp:inline distT="0" distB="0" distL="0" distR="0" wp14:anchorId="63CED4C9" wp14:editId="5ABA602C">
            <wp:extent cx="4091940" cy="2522220"/>
            <wp:effectExtent l="0" t="0" r="3810" b="0"/>
            <wp:docPr id="363153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1940" cy="2522220"/>
                    </a:xfrm>
                    <a:prstGeom prst="rect">
                      <a:avLst/>
                    </a:prstGeom>
                    <a:noFill/>
                    <a:ln>
                      <a:noFill/>
                    </a:ln>
                  </pic:spPr>
                </pic:pic>
              </a:graphicData>
            </a:graphic>
          </wp:inline>
        </w:drawing>
      </w:r>
    </w:p>
    <w:sectPr w:rsidR="00EC7797" w:rsidRPr="00EC7797" w:rsidSect="0005259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6A8D2" w14:textId="77777777" w:rsidR="003C638A" w:rsidRDefault="003C638A">
      <w:pPr>
        <w:spacing w:after="0" w:line="240" w:lineRule="auto"/>
      </w:pPr>
      <w:r>
        <w:separator/>
      </w:r>
    </w:p>
  </w:endnote>
  <w:endnote w:type="continuationSeparator" w:id="0">
    <w:p w14:paraId="24E3186F" w14:textId="77777777" w:rsidR="003C638A" w:rsidRDefault="003C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93B9D" w14:textId="77777777" w:rsidR="00EC7797" w:rsidRDefault="00EC7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2A997" w14:textId="77777777" w:rsidR="00EC7797" w:rsidRDefault="00EC77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E7BB5" w14:textId="77777777" w:rsidR="00EC7797" w:rsidRDefault="00EC7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3B6F2" w14:textId="77777777" w:rsidR="003C638A" w:rsidRDefault="003C638A">
      <w:pPr>
        <w:spacing w:after="0" w:line="240" w:lineRule="auto"/>
      </w:pPr>
      <w:r>
        <w:separator/>
      </w:r>
    </w:p>
  </w:footnote>
  <w:footnote w:type="continuationSeparator" w:id="0">
    <w:p w14:paraId="3C8C48E4" w14:textId="77777777" w:rsidR="003C638A" w:rsidRDefault="003C6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BE630" w14:textId="77777777" w:rsidR="00EC7797" w:rsidRDefault="00EC7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E818F" w14:textId="77777777" w:rsidR="00EC7797" w:rsidRDefault="00EC77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5E811" w14:textId="77777777" w:rsidR="00EC7797" w:rsidRDefault="00EC77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F20"/>
    <w:rsid w:val="000129C5"/>
    <w:rsid w:val="0005259B"/>
    <w:rsid w:val="002101DF"/>
    <w:rsid w:val="003C638A"/>
    <w:rsid w:val="00412F20"/>
    <w:rsid w:val="00435380"/>
    <w:rsid w:val="007116AC"/>
    <w:rsid w:val="00946FD6"/>
    <w:rsid w:val="00EA071F"/>
    <w:rsid w:val="00EC77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6740BE"/>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2024-05-14T09:46:00Z</dcterms:created>
  <dcterms:modified xsi:type="dcterms:W3CDTF">2024-05-30T11:23:00Z</dcterms:modified>
</cp:coreProperties>
</file>