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574E" w14:textId="77777777" w:rsidR="003B163D" w:rsidRPr="003B163D" w:rsidRDefault="003B163D" w:rsidP="00966B39">
      <w:pPr>
        <w:spacing w:before="120" w:after="0" w:line="360" w:lineRule="auto"/>
        <w:rPr>
          <w:rFonts w:ascii="Arial" w:eastAsia="Times New Roman" w:hAnsi="Arial" w:cs="Arial"/>
          <w:b/>
          <w:bCs/>
          <w:sz w:val="28"/>
          <w:szCs w:val="28"/>
          <w:lang w:val="en-GB"/>
        </w:rPr>
      </w:pPr>
      <w:r w:rsidRPr="003B163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ADB3F3F" w14:textId="77777777" w:rsidR="003B163D" w:rsidRPr="003B163D" w:rsidRDefault="003B163D" w:rsidP="00966B39">
      <w:pPr>
        <w:spacing w:before="120" w:after="0" w:line="360" w:lineRule="auto"/>
        <w:rPr>
          <w:rFonts w:ascii="Arial" w:eastAsia="Times New Roman" w:hAnsi="Arial" w:cs="Arial"/>
          <w:b/>
          <w:bCs/>
          <w:sz w:val="28"/>
          <w:szCs w:val="28"/>
          <w:lang w:val="en-GB"/>
        </w:rPr>
      </w:pPr>
      <w:r w:rsidRPr="003B163D">
        <w:rPr>
          <w:rFonts w:ascii="Arial" w:eastAsia="Times New Roman" w:hAnsi="Arial" w:cs="Arial"/>
          <w:b/>
          <w:bCs/>
          <w:sz w:val="28"/>
          <w:szCs w:val="28"/>
          <w:lang w:val="en-GB"/>
        </w:rPr>
        <w:t>For any corrections, remarks, or suggestions, kindly contact us on translate@lloc.gov.bh</w:t>
      </w:r>
    </w:p>
    <w:p w14:paraId="48165404" w14:textId="77777777" w:rsidR="003B163D" w:rsidRPr="003B163D" w:rsidRDefault="003B163D" w:rsidP="00966B39">
      <w:pPr>
        <w:spacing w:before="120" w:after="0" w:line="360" w:lineRule="auto"/>
        <w:rPr>
          <w:rFonts w:ascii="Arial" w:eastAsia="Times New Roman" w:hAnsi="Arial" w:cs="Arial"/>
          <w:b/>
          <w:bCs/>
          <w:sz w:val="28"/>
          <w:szCs w:val="28"/>
          <w:lang w:val="en-GB"/>
        </w:rPr>
      </w:pPr>
      <w:r w:rsidRPr="003B163D">
        <w:rPr>
          <w:rFonts w:ascii="Arial" w:eastAsia="Times New Roman" w:hAnsi="Arial" w:cs="Arial"/>
          <w:b/>
          <w:bCs/>
          <w:sz w:val="28"/>
          <w:szCs w:val="28"/>
          <w:lang w:val="en-GB"/>
        </w:rPr>
        <w:t>Published on the website on May 2024</w:t>
      </w:r>
      <w:r w:rsidRPr="003B163D">
        <w:rPr>
          <w:rFonts w:ascii="Arial" w:eastAsia="Times New Roman" w:hAnsi="Arial" w:cs="Arial"/>
          <w:b/>
          <w:bCs/>
          <w:sz w:val="28"/>
          <w:szCs w:val="28"/>
          <w:lang w:val="en-GB"/>
        </w:rPr>
        <w:br w:type="page"/>
      </w:r>
    </w:p>
    <w:p w14:paraId="1BA1E84F"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b/>
          <w:bCs/>
          <w:sz w:val="28"/>
          <w:szCs w:val="28"/>
          <w:lang w:val="en-GB"/>
        </w:rPr>
        <w:lastRenderedPageBreak/>
        <w:t>Constitutional Court </w:t>
      </w:r>
    </w:p>
    <w:p w14:paraId="2D59E3C9"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b/>
          <w:bCs/>
          <w:sz w:val="28"/>
          <w:szCs w:val="28"/>
          <w:lang w:val="en-GB"/>
        </w:rPr>
        <w:t>Decision No. (2) of 2021 amending some provisions of the Human Resources Regulation of the Constitutional Court promulgated by Decision No. (22) of 2016 </w:t>
      </w:r>
    </w:p>
    <w:p w14:paraId="6C845BA0"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sz w:val="28"/>
          <w:szCs w:val="28"/>
          <w:lang w:val="en-GB"/>
        </w:rPr>
        <w:br w:type="page"/>
      </w:r>
    </w:p>
    <w:p w14:paraId="2CBBFF83"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sz w:val="28"/>
          <w:szCs w:val="28"/>
          <w:lang w:val="en-GB"/>
        </w:rPr>
        <w:t>President of the Constitutional Court: </w:t>
      </w:r>
    </w:p>
    <w:p w14:paraId="43461E21"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sz w:val="28"/>
          <w:szCs w:val="28"/>
          <w:lang w:val="en-GB"/>
        </w:rPr>
        <w:t>Having reviewed Legislative Decree No. (27) of 2002 regarding the Establishment of the Constitutional Court, amended by Legislative Decree No. (38) of 2012; </w:t>
      </w:r>
    </w:p>
    <w:p w14:paraId="73FEB426"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sz w:val="28"/>
          <w:szCs w:val="28"/>
          <w:lang w:val="en-GB"/>
        </w:rPr>
        <w:t>And the Human Resources Regulation of the Constitutional Court promulgated by Decision No. (22) of 2016, as amended; </w:t>
      </w:r>
    </w:p>
    <w:p w14:paraId="0D51FFAF"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sz w:val="28"/>
          <w:szCs w:val="28"/>
          <w:lang w:val="en-GB"/>
        </w:rPr>
        <w:t>And upon the submission of the Secretary-General, </w:t>
      </w:r>
    </w:p>
    <w:p w14:paraId="1DCA8304"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b/>
          <w:bCs/>
          <w:sz w:val="28"/>
          <w:szCs w:val="28"/>
          <w:lang w:val="en-GB"/>
        </w:rPr>
        <w:t>Hereby Decides: </w:t>
      </w:r>
    </w:p>
    <w:p w14:paraId="7D10EAE5"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b/>
          <w:bCs/>
          <w:sz w:val="28"/>
          <w:szCs w:val="28"/>
          <w:lang w:val="en-GB"/>
        </w:rPr>
        <w:t>Article One </w:t>
      </w:r>
    </w:p>
    <w:p w14:paraId="0D10471C"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sz w:val="28"/>
          <w:szCs w:val="28"/>
          <w:lang w:val="en-GB"/>
        </w:rPr>
        <w:t>The text of Article (61) of the Human Resources Regulation of the Constitutional Court promulgated by Decision No. (22) of 2016 shall be replaced with the following text: </w:t>
      </w:r>
    </w:p>
    <w:p w14:paraId="4484B0A6"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sz w:val="28"/>
          <w:szCs w:val="28"/>
          <w:lang w:val="en-GB"/>
        </w:rPr>
        <w:t>“The Court shall provide a health insurance system, provided that the financial appropriation is available, and the President of the Court shall lay down the necessary rules for that purpose”. </w:t>
      </w:r>
    </w:p>
    <w:p w14:paraId="3179A1FA"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b/>
          <w:bCs/>
          <w:sz w:val="28"/>
          <w:szCs w:val="28"/>
          <w:lang w:val="en-GB"/>
        </w:rPr>
        <w:t>Article Two </w:t>
      </w:r>
    </w:p>
    <w:p w14:paraId="2247CD36"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sz w:val="28"/>
          <w:szCs w:val="28"/>
          <w:lang w:val="en-GB"/>
        </w:rPr>
        <w:t>The Secretary-General shall implement this Decision, and it shall come into force from the day following the date of its publication in the Official Gazette. </w:t>
      </w:r>
    </w:p>
    <w:p w14:paraId="37985ED8"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b/>
          <w:bCs/>
          <w:sz w:val="28"/>
          <w:szCs w:val="28"/>
          <w:lang w:val="en-GB"/>
        </w:rPr>
        <w:t>President of the Constitutional Court </w:t>
      </w:r>
    </w:p>
    <w:p w14:paraId="6B7B5038"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b/>
          <w:bCs/>
          <w:sz w:val="28"/>
          <w:szCs w:val="28"/>
          <w:lang w:val="en-GB"/>
        </w:rPr>
        <w:t>Khalifa bin Rashid bin Abdullah Al Khalifa </w:t>
      </w:r>
    </w:p>
    <w:p w14:paraId="74C166AE"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sz w:val="28"/>
          <w:szCs w:val="28"/>
          <w:lang w:val="en-GB"/>
        </w:rPr>
        <w:t>Issued on: 14 Jumada al-Akhir 1442 A.H. </w:t>
      </w:r>
    </w:p>
    <w:p w14:paraId="3A8D289B" w14:textId="77777777" w:rsidR="003B163D" w:rsidRPr="003B163D" w:rsidRDefault="003B163D" w:rsidP="00966B39">
      <w:pPr>
        <w:spacing w:before="120" w:after="0" w:line="360" w:lineRule="auto"/>
        <w:rPr>
          <w:rFonts w:ascii="Arial" w:eastAsia="Times New Roman" w:hAnsi="Arial" w:cs="Arial"/>
          <w:sz w:val="28"/>
          <w:szCs w:val="28"/>
          <w:lang w:val="en-GB"/>
        </w:rPr>
      </w:pPr>
      <w:r w:rsidRPr="003B163D">
        <w:rPr>
          <w:rFonts w:ascii="Arial" w:eastAsia="Times New Roman" w:hAnsi="Arial" w:cs="Arial"/>
          <w:sz w:val="28"/>
          <w:szCs w:val="28"/>
          <w:lang w:val="en-GB"/>
        </w:rPr>
        <w:t>Corresponding to: 27 January 2021 </w:t>
      </w:r>
    </w:p>
    <w:p w14:paraId="545BA4D7" w14:textId="77777777" w:rsidR="003B163D" w:rsidRPr="003B163D" w:rsidRDefault="003B163D" w:rsidP="00966B39">
      <w:pPr>
        <w:spacing w:before="120" w:after="0" w:line="360" w:lineRule="auto"/>
        <w:rPr>
          <w:rFonts w:ascii="Arial" w:eastAsia="Times New Roman" w:hAnsi="Arial" w:cs="Arial"/>
          <w:b/>
          <w:bCs/>
          <w:sz w:val="28"/>
          <w:szCs w:val="28"/>
        </w:rPr>
      </w:pPr>
    </w:p>
    <w:p w14:paraId="5ACFA079" w14:textId="77777777" w:rsidR="003B163D" w:rsidRPr="003B163D" w:rsidRDefault="003B163D" w:rsidP="00966B39">
      <w:pPr>
        <w:spacing w:before="120" w:after="0" w:line="360" w:lineRule="auto"/>
        <w:rPr>
          <w:rFonts w:ascii="Arial" w:hAnsi="Arial" w:cs="Arial"/>
          <w:sz w:val="28"/>
          <w:szCs w:val="28"/>
        </w:rPr>
      </w:pPr>
    </w:p>
    <w:sectPr w:rsidR="003B163D" w:rsidRPr="003B163D" w:rsidSect="00353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3D"/>
    <w:rsid w:val="000129C5"/>
    <w:rsid w:val="003538C0"/>
    <w:rsid w:val="003B163D"/>
    <w:rsid w:val="00435380"/>
    <w:rsid w:val="00946FD6"/>
    <w:rsid w:val="00966B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6C3D8"/>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2024-05-14T09:41:00Z</dcterms:created>
  <dcterms:modified xsi:type="dcterms:W3CDTF">2024-05-15T18:24:00Z</dcterms:modified>
</cp:coreProperties>
</file>