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01D31" w14:textId="77777777" w:rsidR="00CC1805" w:rsidRDefault="00CC1805">
      <w:pPr>
        <w:spacing w:after="0" w:line="240" w:lineRule="auto"/>
        <w:rPr>
          <w:rFonts w:ascii="Arial" w:hAnsi="Arial" w:cs="Arial"/>
          <w:b/>
          <w:bCs/>
          <w:sz w:val="28"/>
          <w:szCs w:val="28"/>
          <w:lang w:bidi="ar-DZ"/>
        </w:rPr>
      </w:pPr>
      <w:r>
        <w:rPr>
          <w:rFonts w:ascii="Arial" w:hAnsi="Arial" w:cs="Arial"/>
          <w:b/>
          <w:bCs/>
          <w:sz w:val="28"/>
          <w:szCs w:val="28"/>
          <w:lang w:bidi="ar-DZ"/>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4A9E71A" w14:textId="77777777" w:rsidR="00CC1805" w:rsidRDefault="00CC1805">
      <w:pPr>
        <w:spacing w:after="0" w:line="240" w:lineRule="auto"/>
        <w:rPr>
          <w:rFonts w:ascii="Arial" w:hAnsi="Arial" w:cs="Arial"/>
          <w:b/>
          <w:bCs/>
          <w:sz w:val="28"/>
          <w:szCs w:val="28"/>
          <w:lang w:bidi="ar-DZ"/>
        </w:rPr>
      </w:pPr>
      <w:r>
        <w:rPr>
          <w:rFonts w:ascii="Arial" w:hAnsi="Arial" w:cs="Arial"/>
          <w:b/>
          <w:bCs/>
          <w:sz w:val="28"/>
          <w:szCs w:val="28"/>
          <w:lang w:bidi="ar-DZ"/>
        </w:rPr>
        <w:t>For any corrections, remarks, or suggestions, kindly contact us on translate@lloc.gov.bh</w:t>
      </w:r>
    </w:p>
    <w:p w14:paraId="0FABFFCF" w14:textId="3513CDA7" w:rsidR="00CC1805" w:rsidRDefault="00CC1805">
      <w:pPr>
        <w:spacing w:after="0" w:line="240" w:lineRule="auto"/>
        <w:rPr>
          <w:rFonts w:ascii="Arial" w:hAnsi="Arial" w:cs="Arial"/>
          <w:b/>
          <w:bCs/>
          <w:sz w:val="28"/>
          <w:szCs w:val="28"/>
          <w:lang w:bidi="ar-DZ"/>
        </w:rPr>
      </w:pPr>
      <w:r>
        <w:rPr>
          <w:rFonts w:ascii="Arial" w:hAnsi="Arial" w:cs="Arial"/>
          <w:b/>
          <w:bCs/>
          <w:sz w:val="28"/>
          <w:szCs w:val="28"/>
          <w:lang w:bidi="ar-DZ"/>
        </w:rPr>
        <w:t>Published on the website on May 2024</w:t>
      </w:r>
      <w:r>
        <w:rPr>
          <w:rFonts w:ascii="Arial" w:hAnsi="Arial" w:cs="Arial"/>
          <w:b/>
          <w:bCs/>
          <w:sz w:val="28"/>
          <w:szCs w:val="28"/>
          <w:lang w:bidi="ar-DZ"/>
        </w:rPr>
        <w:br w:type="page"/>
      </w:r>
    </w:p>
    <w:p w14:paraId="4CF1286B" w14:textId="77777777" w:rsidR="004E4845" w:rsidRPr="004E4845" w:rsidRDefault="004E4845" w:rsidP="00536440">
      <w:pPr>
        <w:autoSpaceDE w:val="0"/>
        <w:autoSpaceDN w:val="0"/>
        <w:adjustRightInd w:val="0"/>
        <w:spacing w:before="120" w:after="0" w:line="360" w:lineRule="auto"/>
        <w:jc w:val="center"/>
        <w:rPr>
          <w:rFonts w:ascii="Arial" w:hAnsi="Arial" w:cs="Arial"/>
          <w:b/>
          <w:bCs/>
          <w:sz w:val="28"/>
          <w:szCs w:val="28"/>
          <w:lang w:bidi="ar-DZ"/>
        </w:rPr>
      </w:pPr>
    </w:p>
    <w:p w14:paraId="54815F58"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Decision No. (22) of 2024</w:t>
      </w:r>
    </w:p>
    <w:p w14:paraId="0233A730"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Amending Certain Provisions of Order No. (40) of 2021 specifying the Commercial</w:t>
      </w:r>
    </w:p>
    <w:p w14:paraId="12A1855A" w14:textId="2D86C515"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Activities that Foreign Capital Companies may be licensed to practice</w:t>
      </w:r>
    </w:p>
    <w:p w14:paraId="598587EA"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p>
    <w:p w14:paraId="72BC1204"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r w:rsidRPr="004E4845">
        <w:rPr>
          <w:rFonts w:ascii="Arial" w:hAnsi="Arial" w:cs="Arial"/>
          <w:b/>
          <w:bCs/>
          <w:kern w:val="0"/>
          <w:sz w:val="28"/>
          <w:szCs w:val="28"/>
        </w:rPr>
        <w:t>Prime Minister:</w:t>
      </w:r>
    </w:p>
    <w:p w14:paraId="340C26E1"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p>
    <w:p w14:paraId="513C504B"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Having reviewed the Decision No. (40) of 2021 specifying the Commercial Activities that Foreign Capital Companies are allowed to practice, and upon the Proposal of the Minister of Industry and Commerce, and after the approval of the Council of Ministers,</w:t>
      </w:r>
    </w:p>
    <w:p w14:paraId="11E11CD3"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041B7A63"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2D32D021"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Hereby decides:</w:t>
      </w:r>
    </w:p>
    <w:p w14:paraId="11674341" w14:textId="77777777" w:rsidR="004E4845" w:rsidRPr="004E4845" w:rsidRDefault="004E4845" w:rsidP="00536440">
      <w:pPr>
        <w:autoSpaceDE w:val="0"/>
        <w:autoSpaceDN w:val="0"/>
        <w:adjustRightInd w:val="0"/>
        <w:spacing w:before="120" w:after="0" w:line="360" w:lineRule="auto"/>
        <w:jc w:val="center"/>
        <w:rPr>
          <w:rFonts w:ascii="Arial" w:hAnsi="Arial" w:cs="Arial"/>
          <w:b/>
          <w:bCs/>
          <w:strike/>
          <w:kern w:val="0"/>
          <w:sz w:val="28"/>
          <w:szCs w:val="28"/>
        </w:rPr>
      </w:pPr>
      <w:r w:rsidRPr="004E4845">
        <w:rPr>
          <w:rFonts w:ascii="Arial" w:hAnsi="Arial" w:cs="Arial"/>
          <w:b/>
          <w:bCs/>
          <w:kern w:val="0"/>
          <w:sz w:val="28"/>
          <w:szCs w:val="28"/>
        </w:rPr>
        <w:t xml:space="preserve">Article One </w:t>
      </w:r>
    </w:p>
    <w:p w14:paraId="418BD01B"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A new article, numbered (4 bis), shall be added to Decision No. (40) of 2021, Specifying the Commercial Activities that Foreign Capital Companies may be licensed to practice, as follows:</w:t>
      </w:r>
    </w:p>
    <w:p w14:paraId="2BBB7E31"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Companies that are wholly or partially owned - as the case may be - by non-Bahraini partners with a shareholding percentage of up to (100%) may be excluded to practice the activity of the authorized distributor, set forth in Clause (21) of Schedule No. (2) attached to this Decision, under any of the following circumstances:</w:t>
      </w:r>
    </w:p>
    <w:p w14:paraId="52E4E43C" w14:textId="77777777" w:rsidR="004E4845" w:rsidRPr="004E4845" w:rsidRDefault="004E4845" w:rsidP="00536440">
      <w:pPr>
        <w:pStyle w:val="ListParagraph"/>
        <w:numPr>
          <w:ilvl w:val="0"/>
          <w:numId w:val="2"/>
        </w:numPr>
        <w:autoSpaceDE w:val="0"/>
        <w:autoSpaceDN w:val="0"/>
        <w:adjustRightInd w:val="0"/>
        <w:spacing w:before="120" w:after="0" w:line="360" w:lineRule="auto"/>
        <w:ind w:left="0" w:firstLine="0"/>
        <w:rPr>
          <w:rFonts w:ascii="Arial" w:hAnsi="Arial" w:cs="Arial"/>
          <w:kern w:val="0"/>
          <w:sz w:val="28"/>
          <w:szCs w:val="28"/>
        </w:rPr>
      </w:pPr>
      <w:r w:rsidRPr="004E4845">
        <w:rPr>
          <w:rFonts w:ascii="Arial" w:hAnsi="Arial" w:cs="Arial"/>
          <w:kern w:val="0"/>
          <w:sz w:val="28"/>
          <w:szCs w:val="28"/>
        </w:rPr>
        <w:t>There is an active sole proprietorship or company whose capital is owned by Bahraini partners at a percentage of at least (51 %) that practices the activity of the authorized distributor of the same trademark in the Kingdom of Bahrain.</w:t>
      </w:r>
    </w:p>
    <w:p w14:paraId="3214A1BF" w14:textId="77777777" w:rsidR="004E4845" w:rsidRPr="004E4845" w:rsidRDefault="004E4845" w:rsidP="00536440">
      <w:pPr>
        <w:pStyle w:val="ListParagraph"/>
        <w:numPr>
          <w:ilvl w:val="0"/>
          <w:numId w:val="2"/>
        </w:numPr>
        <w:autoSpaceDE w:val="0"/>
        <w:autoSpaceDN w:val="0"/>
        <w:adjustRightInd w:val="0"/>
        <w:spacing w:before="120" w:after="0" w:line="360" w:lineRule="auto"/>
        <w:ind w:left="0" w:firstLine="0"/>
        <w:rPr>
          <w:rFonts w:ascii="Arial" w:hAnsi="Arial" w:cs="Arial"/>
          <w:kern w:val="0"/>
          <w:sz w:val="28"/>
          <w:szCs w:val="28"/>
        </w:rPr>
      </w:pPr>
      <w:r w:rsidRPr="004E4845">
        <w:rPr>
          <w:rFonts w:ascii="Arial" w:hAnsi="Arial" w:cs="Arial"/>
          <w:kern w:val="0"/>
          <w:sz w:val="28"/>
          <w:szCs w:val="28"/>
        </w:rPr>
        <w:t>The company that owns the international brand distributes its products within the Kingdom of Bahrain.</w:t>
      </w:r>
    </w:p>
    <w:p w14:paraId="5C8DEEF5" w14:textId="77777777" w:rsidR="004E4845" w:rsidRPr="004E4845" w:rsidRDefault="004E4845" w:rsidP="00536440">
      <w:pPr>
        <w:pStyle w:val="ListParagraph"/>
        <w:numPr>
          <w:ilvl w:val="0"/>
          <w:numId w:val="2"/>
        </w:numPr>
        <w:autoSpaceDE w:val="0"/>
        <w:autoSpaceDN w:val="0"/>
        <w:adjustRightInd w:val="0"/>
        <w:spacing w:before="120" w:after="0" w:line="360" w:lineRule="auto"/>
        <w:ind w:left="0" w:firstLine="0"/>
        <w:rPr>
          <w:rFonts w:ascii="Arial" w:hAnsi="Arial" w:cs="Arial"/>
          <w:kern w:val="0"/>
          <w:sz w:val="28"/>
          <w:szCs w:val="28"/>
        </w:rPr>
      </w:pPr>
      <w:r w:rsidRPr="004E4845">
        <w:rPr>
          <w:rFonts w:ascii="Arial" w:hAnsi="Arial" w:cs="Arial"/>
          <w:kern w:val="0"/>
          <w:sz w:val="28"/>
          <w:szCs w:val="28"/>
        </w:rPr>
        <w:t>The company must be of economic importance according to the criteria determined by the Minister of Commerce, after the approval of the Council of Ministers.</w:t>
      </w:r>
    </w:p>
    <w:p w14:paraId="4C150D49" w14:textId="77777777" w:rsidR="004E4845" w:rsidRPr="004E4845" w:rsidRDefault="004E4845" w:rsidP="00536440">
      <w:pPr>
        <w:pStyle w:val="ListParagraph"/>
        <w:autoSpaceDE w:val="0"/>
        <w:autoSpaceDN w:val="0"/>
        <w:adjustRightInd w:val="0"/>
        <w:spacing w:before="120" w:after="0" w:line="360" w:lineRule="auto"/>
        <w:ind w:left="0"/>
        <w:rPr>
          <w:rFonts w:ascii="Arial" w:hAnsi="Arial" w:cs="Arial"/>
          <w:kern w:val="0"/>
          <w:sz w:val="28"/>
          <w:szCs w:val="28"/>
        </w:rPr>
      </w:pPr>
    </w:p>
    <w:p w14:paraId="5EAB9304"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 xml:space="preserve">Article Two </w:t>
      </w:r>
    </w:p>
    <w:p w14:paraId="7733F710"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A new clause No. (21) shall be added to Schedule No. (2) of Decision No. (40) of 2021, specifying the Commercial Activities that the Foreign Capital Companies may be licensed to practice, as follows:</w:t>
      </w:r>
    </w:p>
    <w:p w14:paraId="1F9A0F42"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tbl>
      <w:tblPr>
        <w:tblStyle w:val="TableGrid"/>
        <w:tblW w:w="0" w:type="auto"/>
        <w:tblInd w:w="0" w:type="dxa"/>
        <w:tblLook w:val="04A0" w:firstRow="1" w:lastRow="0" w:firstColumn="1" w:lastColumn="0" w:noHBand="0" w:noVBand="1"/>
      </w:tblPr>
      <w:tblGrid>
        <w:gridCol w:w="2996"/>
        <w:gridCol w:w="3019"/>
        <w:gridCol w:w="3047"/>
      </w:tblGrid>
      <w:tr w:rsidR="005B3CF0" w:rsidRPr="004E4845" w14:paraId="56A8DCA8" w14:textId="77777777">
        <w:tc>
          <w:tcPr>
            <w:tcW w:w="3116" w:type="dxa"/>
            <w:tcBorders>
              <w:top w:val="single" w:sz="4" w:space="0" w:color="auto"/>
              <w:left w:val="single" w:sz="4" w:space="0" w:color="auto"/>
              <w:bottom w:val="single" w:sz="4" w:space="0" w:color="auto"/>
              <w:right w:val="single" w:sz="4" w:space="0" w:color="auto"/>
            </w:tcBorders>
            <w:hideMark/>
          </w:tcPr>
          <w:p w14:paraId="744826EC"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No.</w:t>
            </w:r>
          </w:p>
        </w:tc>
        <w:tc>
          <w:tcPr>
            <w:tcW w:w="3117" w:type="dxa"/>
            <w:tcBorders>
              <w:top w:val="single" w:sz="4" w:space="0" w:color="auto"/>
              <w:left w:val="single" w:sz="4" w:space="0" w:color="auto"/>
              <w:bottom w:val="single" w:sz="4" w:space="0" w:color="auto"/>
              <w:right w:val="single" w:sz="4" w:space="0" w:color="auto"/>
            </w:tcBorders>
            <w:hideMark/>
          </w:tcPr>
          <w:p w14:paraId="0F0A24AC"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Activity Code</w:t>
            </w:r>
          </w:p>
        </w:tc>
        <w:tc>
          <w:tcPr>
            <w:tcW w:w="3117" w:type="dxa"/>
            <w:tcBorders>
              <w:top w:val="single" w:sz="4" w:space="0" w:color="auto"/>
              <w:left w:val="single" w:sz="4" w:space="0" w:color="auto"/>
              <w:bottom w:val="single" w:sz="4" w:space="0" w:color="auto"/>
              <w:right w:val="single" w:sz="4" w:space="0" w:color="auto"/>
            </w:tcBorders>
            <w:hideMark/>
          </w:tcPr>
          <w:p w14:paraId="132D948F"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Activity Name</w:t>
            </w:r>
          </w:p>
        </w:tc>
      </w:tr>
      <w:tr w:rsidR="005B3CF0" w:rsidRPr="004E4845" w14:paraId="69240996" w14:textId="77777777">
        <w:tc>
          <w:tcPr>
            <w:tcW w:w="3116" w:type="dxa"/>
            <w:tcBorders>
              <w:top w:val="single" w:sz="4" w:space="0" w:color="auto"/>
              <w:left w:val="single" w:sz="4" w:space="0" w:color="auto"/>
              <w:bottom w:val="single" w:sz="4" w:space="0" w:color="auto"/>
              <w:right w:val="single" w:sz="4" w:space="0" w:color="auto"/>
            </w:tcBorders>
            <w:hideMark/>
          </w:tcPr>
          <w:p w14:paraId="27260767"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b/>
                <w:bCs/>
                <w:kern w:val="0"/>
                <w:sz w:val="28"/>
                <w:szCs w:val="28"/>
              </w:rPr>
              <w:t>21</w:t>
            </w:r>
          </w:p>
        </w:tc>
        <w:tc>
          <w:tcPr>
            <w:tcW w:w="3117" w:type="dxa"/>
            <w:tcBorders>
              <w:top w:val="single" w:sz="4" w:space="0" w:color="auto"/>
              <w:left w:val="single" w:sz="4" w:space="0" w:color="auto"/>
              <w:bottom w:val="single" w:sz="4" w:space="0" w:color="auto"/>
              <w:right w:val="single" w:sz="4" w:space="0" w:color="auto"/>
            </w:tcBorders>
            <w:hideMark/>
          </w:tcPr>
          <w:p w14:paraId="78F6C33F"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b/>
                <w:bCs/>
                <w:kern w:val="0"/>
                <w:sz w:val="28"/>
                <w:szCs w:val="28"/>
              </w:rPr>
              <w:t>4699</w:t>
            </w:r>
          </w:p>
        </w:tc>
        <w:tc>
          <w:tcPr>
            <w:tcW w:w="3117" w:type="dxa"/>
            <w:tcBorders>
              <w:top w:val="single" w:sz="4" w:space="0" w:color="auto"/>
              <w:left w:val="single" w:sz="4" w:space="0" w:color="auto"/>
              <w:bottom w:val="single" w:sz="4" w:space="0" w:color="auto"/>
              <w:right w:val="single" w:sz="4" w:space="0" w:color="auto"/>
            </w:tcBorders>
            <w:hideMark/>
          </w:tcPr>
          <w:p w14:paraId="2DAD3702"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r w:rsidRPr="004E4845">
              <w:rPr>
                <w:rFonts w:ascii="Arial" w:hAnsi="Arial" w:cs="Arial"/>
                <w:b/>
                <w:bCs/>
                <w:kern w:val="0"/>
                <w:sz w:val="28"/>
                <w:szCs w:val="28"/>
              </w:rPr>
              <w:t>Authorized Distributor</w:t>
            </w:r>
          </w:p>
        </w:tc>
      </w:tr>
    </w:tbl>
    <w:p w14:paraId="2690B2BC"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182597B6"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p>
    <w:p w14:paraId="7539EA8B" w14:textId="77777777" w:rsidR="004E4845" w:rsidRPr="004E4845" w:rsidRDefault="004E4845" w:rsidP="00536440">
      <w:pPr>
        <w:autoSpaceDE w:val="0"/>
        <w:autoSpaceDN w:val="0"/>
        <w:adjustRightInd w:val="0"/>
        <w:spacing w:before="120" w:after="0" w:line="360" w:lineRule="auto"/>
        <w:rPr>
          <w:rFonts w:ascii="Arial" w:hAnsi="Arial" w:cs="Arial"/>
          <w:b/>
          <w:bCs/>
          <w:kern w:val="0"/>
          <w:sz w:val="28"/>
          <w:szCs w:val="28"/>
        </w:rPr>
      </w:pPr>
    </w:p>
    <w:p w14:paraId="49E7D6FF"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Article Three</w:t>
      </w:r>
    </w:p>
    <w:p w14:paraId="5E2FE241"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The application of the provisions of this Decision is without prejudice to companies practicing the approved distribution activity prior to the implementation of the provisions of this Decision without the presence of a Bahraini partner whose percentage of ownership reaches at least (51%) of the capital. This is subject to the conditions and controls for practicing the activity of the authorized distributor, as issued by a Decision of the Minister of Commerce, after the approval of the Council of Ministers.</w:t>
      </w:r>
    </w:p>
    <w:p w14:paraId="6E07CDD9"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3C70EFCC"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53AC4996"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Article Four</w:t>
      </w:r>
    </w:p>
    <w:p w14:paraId="138FEF97"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r w:rsidRPr="004E4845">
        <w:rPr>
          <w:rFonts w:ascii="Arial" w:hAnsi="Arial" w:cs="Arial"/>
          <w:kern w:val="0"/>
          <w:sz w:val="28"/>
          <w:szCs w:val="28"/>
        </w:rPr>
        <w:t>The Minister of Industry and Commerce shall implement the provisions of this Decision. It shall come into force the day following its publication in the Official Gazette.</w:t>
      </w:r>
    </w:p>
    <w:p w14:paraId="13E71D25" w14:textId="77777777" w:rsidR="004E4845" w:rsidRPr="004E4845" w:rsidRDefault="004E4845" w:rsidP="00536440">
      <w:pPr>
        <w:spacing w:before="120" w:after="0" w:line="360" w:lineRule="auto"/>
        <w:rPr>
          <w:rFonts w:ascii="Arial" w:hAnsi="Arial" w:cs="Arial"/>
          <w:kern w:val="0"/>
          <w:sz w:val="28"/>
          <w:szCs w:val="28"/>
        </w:rPr>
      </w:pPr>
      <w:r w:rsidRPr="004E4845">
        <w:rPr>
          <w:rFonts w:ascii="Arial" w:hAnsi="Arial" w:cs="Arial"/>
          <w:kern w:val="0"/>
          <w:sz w:val="28"/>
          <w:szCs w:val="28"/>
        </w:rPr>
        <w:t xml:space="preserve"> </w:t>
      </w:r>
    </w:p>
    <w:p w14:paraId="2455CB24" w14:textId="77777777" w:rsidR="004E4845" w:rsidRPr="004E4845" w:rsidRDefault="004E4845" w:rsidP="00536440">
      <w:pPr>
        <w:autoSpaceDE w:val="0"/>
        <w:autoSpaceDN w:val="0"/>
        <w:adjustRightInd w:val="0"/>
        <w:spacing w:before="120" w:after="0" w:line="360" w:lineRule="auto"/>
        <w:rPr>
          <w:rFonts w:ascii="Arial" w:hAnsi="Arial" w:cs="Arial"/>
          <w:kern w:val="0"/>
          <w:sz w:val="28"/>
          <w:szCs w:val="28"/>
        </w:rPr>
      </w:pPr>
    </w:p>
    <w:p w14:paraId="0A5EEE7C" w14:textId="77777777" w:rsidR="004E4845" w:rsidRPr="004E4845" w:rsidRDefault="004E4845" w:rsidP="00536440">
      <w:pPr>
        <w:autoSpaceDE w:val="0"/>
        <w:autoSpaceDN w:val="0"/>
        <w:adjustRightInd w:val="0"/>
        <w:spacing w:before="120" w:after="0" w:line="360" w:lineRule="auto"/>
        <w:jc w:val="center"/>
        <w:rPr>
          <w:rFonts w:ascii="Arial" w:hAnsi="Arial" w:cs="Arial"/>
          <w:b/>
          <w:bCs/>
          <w:kern w:val="0"/>
          <w:sz w:val="28"/>
          <w:szCs w:val="28"/>
        </w:rPr>
      </w:pPr>
      <w:r w:rsidRPr="004E4845">
        <w:rPr>
          <w:rFonts w:ascii="Arial" w:hAnsi="Arial" w:cs="Arial"/>
          <w:b/>
          <w:bCs/>
          <w:kern w:val="0"/>
          <w:sz w:val="28"/>
          <w:szCs w:val="28"/>
        </w:rPr>
        <w:t xml:space="preserve">                                                                                 Prime Minister</w:t>
      </w:r>
    </w:p>
    <w:p w14:paraId="76EFCCAE" w14:textId="77777777" w:rsidR="004E4845" w:rsidRPr="004E4845" w:rsidRDefault="004E4845" w:rsidP="00536440">
      <w:pPr>
        <w:autoSpaceDE w:val="0"/>
        <w:autoSpaceDN w:val="0"/>
        <w:adjustRightInd w:val="0"/>
        <w:spacing w:before="120" w:after="0" w:line="360" w:lineRule="auto"/>
        <w:jc w:val="right"/>
        <w:rPr>
          <w:rFonts w:ascii="Arial" w:hAnsi="Arial" w:cs="Arial"/>
          <w:b/>
          <w:bCs/>
          <w:kern w:val="0"/>
          <w:sz w:val="28"/>
          <w:szCs w:val="28"/>
        </w:rPr>
      </w:pPr>
      <w:r w:rsidRPr="004E4845">
        <w:rPr>
          <w:rFonts w:ascii="Arial" w:hAnsi="Arial" w:cs="Arial"/>
          <w:b/>
          <w:bCs/>
          <w:kern w:val="0"/>
          <w:sz w:val="28"/>
          <w:szCs w:val="28"/>
        </w:rPr>
        <w:t>Salman Bin Hamad Al Khalifa</w:t>
      </w:r>
    </w:p>
    <w:p w14:paraId="688C33E8" w14:textId="77777777" w:rsidR="004E4845" w:rsidRPr="004E4845" w:rsidRDefault="004E4845" w:rsidP="00536440">
      <w:pPr>
        <w:spacing w:before="120" w:after="0" w:line="360" w:lineRule="auto"/>
        <w:rPr>
          <w:rFonts w:ascii="Arial" w:hAnsi="Arial" w:cs="Arial"/>
          <w:kern w:val="0"/>
          <w:sz w:val="28"/>
          <w:szCs w:val="28"/>
        </w:rPr>
      </w:pPr>
    </w:p>
    <w:p w14:paraId="65B03F7E" w14:textId="77777777" w:rsidR="004E4845" w:rsidRPr="004E4845" w:rsidRDefault="004E4845" w:rsidP="00536440">
      <w:pPr>
        <w:spacing w:before="120" w:after="0" w:line="360" w:lineRule="auto"/>
        <w:rPr>
          <w:rFonts w:ascii="Arial" w:hAnsi="Arial" w:cs="Arial"/>
          <w:kern w:val="0"/>
          <w:sz w:val="28"/>
          <w:szCs w:val="28"/>
        </w:rPr>
      </w:pPr>
    </w:p>
    <w:p w14:paraId="3580BA69" w14:textId="77777777" w:rsidR="004E4845" w:rsidRPr="004E4845" w:rsidRDefault="004E4845" w:rsidP="00536440">
      <w:pPr>
        <w:spacing w:before="120" w:after="0" w:line="360" w:lineRule="auto"/>
        <w:rPr>
          <w:rFonts w:ascii="Arial" w:hAnsi="Arial" w:cs="Arial"/>
          <w:kern w:val="0"/>
          <w:sz w:val="28"/>
          <w:szCs w:val="28"/>
        </w:rPr>
      </w:pPr>
    </w:p>
    <w:p w14:paraId="267C2EBB" w14:textId="77777777" w:rsidR="004E4845" w:rsidRPr="004E4845" w:rsidRDefault="004E4845" w:rsidP="00536440">
      <w:pPr>
        <w:spacing w:before="120" w:after="0" w:line="360" w:lineRule="auto"/>
        <w:rPr>
          <w:rFonts w:ascii="Arial" w:hAnsi="Arial" w:cs="Arial"/>
          <w:kern w:val="0"/>
          <w:sz w:val="28"/>
          <w:szCs w:val="28"/>
        </w:rPr>
      </w:pPr>
    </w:p>
    <w:p w14:paraId="05197495" w14:textId="77777777" w:rsidR="004E4845" w:rsidRPr="004E4845" w:rsidRDefault="004E4845" w:rsidP="00536440">
      <w:pPr>
        <w:spacing w:before="120" w:after="0" w:line="360" w:lineRule="auto"/>
        <w:rPr>
          <w:rFonts w:ascii="Arial" w:hAnsi="Arial" w:cs="Arial"/>
          <w:kern w:val="0"/>
          <w:sz w:val="28"/>
          <w:szCs w:val="28"/>
        </w:rPr>
      </w:pPr>
      <w:r w:rsidRPr="004E4845">
        <w:rPr>
          <w:rFonts w:ascii="Arial" w:hAnsi="Arial" w:cs="Arial"/>
          <w:kern w:val="0"/>
          <w:sz w:val="28"/>
          <w:szCs w:val="28"/>
        </w:rPr>
        <w:t>Issued on: Shawwal 7, 1445 AH, corresponding to April 16, 2024 AD.</w:t>
      </w:r>
    </w:p>
    <w:sectPr w:rsidR="004E4845" w:rsidRPr="004E4845" w:rsidSect="00917B82">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45EEC" w14:textId="77777777" w:rsidR="00A95C62" w:rsidRDefault="00A95C62">
      <w:pPr>
        <w:spacing w:after="0" w:line="240" w:lineRule="auto"/>
      </w:pPr>
      <w:r>
        <w:separator/>
      </w:r>
    </w:p>
  </w:endnote>
  <w:endnote w:type="continuationSeparator" w:id="0">
    <w:p w14:paraId="34A57579" w14:textId="77777777" w:rsidR="00A95C62" w:rsidRDefault="00A9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15C4D" w14:textId="77777777" w:rsidR="00A95C62" w:rsidRDefault="00A95C62">
      <w:pPr>
        <w:spacing w:after="0" w:line="240" w:lineRule="auto"/>
      </w:pPr>
      <w:r>
        <w:separator/>
      </w:r>
    </w:p>
  </w:footnote>
  <w:footnote w:type="continuationSeparator" w:id="0">
    <w:p w14:paraId="25B38D85" w14:textId="77777777" w:rsidR="00A95C62" w:rsidRDefault="00A9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A7911"/>
    <w:multiLevelType w:val="hybridMultilevel"/>
    <w:tmpl w:val="565452AE"/>
    <w:lvl w:ilvl="0" w:tplc="AE103E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999386">
    <w:abstractNumId w:val="0"/>
  </w:num>
  <w:num w:numId="2" w16cid:durableId="752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54"/>
    <w:rsid w:val="000129C5"/>
    <w:rsid w:val="001D1C13"/>
    <w:rsid w:val="00435380"/>
    <w:rsid w:val="004A431F"/>
    <w:rsid w:val="004E4845"/>
    <w:rsid w:val="00536440"/>
    <w:rsid w:val="005B3CF0"/>
    <w:rsid w:val="00755C2F"/>
    <w:rsid w:val="008A3C54"/>
    <w:rsid w:val="00917B82"/>
    <w:rsid w:val="00A33147"/>
    <w:rsid w:val="00A95C62"/>
    <w:rsid w:val="00CC1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3DC0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Revision">
    <w:name w:val="Revision"/>
    <w:uiPriority w:val="99"/>
    <w:semiHidden/>
    <w:rPr>
      <w:kern w:val="2"/>
      <w:sz w:val="22"/>
      <w:szCs w:val="22"/>
      <w14:ligatures w14:val="standardContextual"/>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7CDE-F7ED-4127-AE6F-99071AA4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Bekki</dc:creator>
  <cp:keywords/>
  <dc:description/>
  <cp:lastModifiedBy>فيصل فايز البلوشي</cp:lastModifiedBy>
  <cp:revision>6</cp:revision>
  <cp:lastPrinted>2024-04-29T20:05:00Z</cp:lastPrinted>
  <dcterms:created xsi:type="dcterms:W3CDTF">2024-05-14T09:39:00Z</dcterms:created>
  <dcterms:modified xsi:type="dcterms:W3CDTF">2024-05-20T20:47:00Z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fbdc56146031751999d1c2e5dbb1327a9591dbc37c58c49d64347e1b569c61e9</vt:lpwstr>
  </property>
</Properties>
</file>