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2F36" w14:textId="77777777" w:rsidR="00AF78BA" w:rsidRPr="00AF78BA" w:rsidRDefault="00AF78BA" w:rsidP="000E1C41">
      <w:pPr>
        <w:spacing w:before="120" w:after="0" w:line="360" w:lineRule="auto"/>
        <w:rPr>
          <w:rFonts w:ascii="Arial" w:eastAsia="Times New Roman" w:hAnsi="Arial" w:cs="Arial"/>
          <w:b/>
          <w:bCs/>
          <w:sz w:val="28"/>
          <w:szCs w:val="28"/>
          <w:lang w:val="en-GB"/>
        </w:rPr>
      </w:pPr>
      <w:r w:rsidRPr="00AF78B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31E0B5A" w14:textId="77777777" w:rsidR="00AF78BA" w:rsidRPr="00AF78BA" w:rsidRDefault="00AF78BA" w:rsidP="000E1C41">
      <w:pPr>
        <w:spacing w:before="120" w:after="0" w:line="360" w:lineRule="auto"/>
        <w:rPr>
          <w:rFonts w:ascii="Arial" w:eastAsia="Times New Roman" w:hAnsi="Arial" w:cs="Arial"/>
          <w:b/>
          <w:bCs/>
          <w:sz w:val="28"/>
          <w:szCs w:val="28"/>
          <w:lang w:val="en-GB"/>
        </w:rPr>
      </w:pPr>
      <w:r w:rsidRPr="00AF78BA">
        <w:rPr>
          <w:rFonts w:ascii="Arial" w:eastAsia="Times New Roman" w:hAnsi="Arial" w:cs="Arial"/>
          <w:b/>
          <w:bCs/>
          <w:sz w:val="28"/>
          <w:szCs w:val="28"/>
          <w:lang w:val="en-GB"/>
        </w:rPr>
        <w:t>For any corrections, remarks, or suggestions, kindly contact us on translate@lloc.gov.bh</w:t>
      </w:r>
    </w:p>
    <w:p w14:paraId="52A64247" w14:textId="77777777" w:rsidR="00AF78BA" w:rsidRPr="00AF78BA" w:rsidRDefault="00AF78BA" w:rsidP="000E1C41">
      <w:pPr>
        <w:spacing w:before="120" w:after="0" w:line="360" w:lineRule="auto"/>
        <w:rPr>
          <w:rFonts w:ascii="Arial" w:eastAsia="Times New Roman" w:hAnsi="Arial" w:cs="Arial"/>
          <w:b/>
          <w:bCs/>
          <w:sz w:val="28"/>
          <w:szCs w:val="28"/>
          <w:lang w:val="en-GB"/>
        </w:rPr>
      </w:pPr>
      <w:r w:rsidRPr="00AF78BA">
        <w:rPr>
          <w:rFonts w:ascii="Arial" w:eastAsia="Times New Roman" w:hAnsi="Arial" w:cs="Arial"/>
          <w:b/>
          <w:bCs/>
          <w:sz w:val="28"/>
          <w:szCs w:val="28"/>
          <w:lang w:val="en-GB"/>
        </w:rPr>
        <w:t>Published on the website on May 2024</w:t>
      </w:r>
      <w:r w:rsidRPr="00AF78BA">
        <w:rPr>
          <w:rFonts w:ascii="Arial" w:eastAsia="Times New Roman" w:hAnsi="Arial" w:cs="Arial"/>
          <w:b/>
          <w:bCs/>
          <w:sz w:val="28"/>
          <w:szCs w:val="28"/>
          <w:lang w:val="en-GB"/>
        </w:rPr>
        <w:br w:type="page"/>
      </w:r>
    </w:p>
    <w:p w14:paraId="4F497BAD"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b/>
          <w:bCs/>
          <w:sz w:val="28"/>
          <w:szCs w:val="28"/>
          <w:lang w:val="en-GB"/>
        </w:rPr>
        <w:lastRenderedPageBreak/>
        <w:t>Central Bank of Bahrain </w:t>
      </w:r>
    </w:p>
    <w:p w14:paraId="511A8C8A"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b/>
          <w:bCs/>
          <w:sz w:val="28"/>
          <w:szCs w:val="28"/>
          <w:lang w:val="en-GB"/>
        </w:rPr>
        <w:t>Decision No. (21) of 2020 amending some provisions of Regulation No. (1) of 2007 regarding Services Subject to the Supervision of the Central Bank of Bahrain </w:t>
      </w:r>
    </w:p>
    <w:p w14:paraId="028E6B2B" w14:textId="748DD1E1" w:rsidR="00AF78BA" w:rsidRPr="00AF78BA" w:rsidRDefault="00AF78BA" w:rsidP="000E1C41">
      <w:pPr>
        <w:spacing w:before="120" w:after="0" w:line="360" w:lineRule="auto"/>
        <w:rPr>
          <w:rFonts w:ascii="Arial" w:eastAsia="Times New Roman" w:hAnsi="Arial" w:cs="Arial"/>
          <w:sz w:val="28"/>
          <w:szCs w:val="28"/>
          <w:lang w:val="en-GB"/>
        </w:rPr>
      </w:pPr>
    </w:p>
    <w:p w14:paraId="2CB20CB7"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sz w:val="28"/>
          <w:szCs w:val="28"/>
          <w:lang w:val="en-GB"/>
        </w:rPr>
        <w:t>Governor of the Central Bank of Bahrain: </w:t>
      </w:r>
    </w:p>
    <w:p w14:paraId="459E95E2"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sz w:val="28"/>
          <w:szCs w:val="28"/>
          <w:lang w:val="en-GB"/>
        </w:rPr>
        <w:t xml:space="preserve">Having reviewed the Central Bank of Bahrain and the Financial Institutions Law, promulgated by Law No. (64) of 2006, as </w:t>
      </w:r>
      <w:proofErr w:type="gramStart"/>
      <w:r w:rsidRPr="00AF78BA">
        <w:rPr>
          <w:rFonts w:ascii="Arial" w:eastAsia="Times New Roman" w:hAnsi="Arial" w:cs="Arial"/>
          <w:sz w:val="28"/>
          <w:szCs w:val="28"/>
          <w:lang w:val="en-GB"/>
        </w:rPr>
        <w:t>amended;</w:t>
      </w:r>
      <w:proofErr w:type="gramEnd"/>
      <w:r w:rsidRPr="00AF78BA">
        <w:rPr>
          <w:rFonts w:ascii="Arial" w:eastAsia="Times New Roman" w:hAnsi="Arial" w:cs="Arial"/>
          <w:sz w:val="28"/>
          <w:szCs w:val="28"/>
          <w:lang w:val="en-GB"/>
        </w:rPr>
        <w:t> </w:t>
      </w:r>
    </w:p>
    <w:p w14:paraId="6FE8E1EE"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sz w:val="28"/>
          <w:szCs w:val="28"/>
          <w:lang w:val="en-GB"/>
        </w:rPr>
        <w:t xml:space="preserve">And Regulation No. (1) of 2007 regarding Services Subject to the Supervision of the Central Bank of Bahrain, as </w:t>
      </w:r>
      <w:proofErr w:type="gramStart"/>
      <w:r w:rsidRPr="00AF78BA">
        <w:rPr>
          <w:rFonts w:ascii="Arial" w:eastAsia="Times New Roman" w:hAnsi="Arial" w:cs="Arial"/>
          <w:sz w:val="28"/>
          <w:szCs w:val="28"/>
          <w:lang w:val="en-GB"/>
        </w:rPr>
        <w:t>amended;</w:t>
      </w:r>
      <w:proofErr w:type="gramEnd"/>
      <w:r w:rsidRPr="00AF78BA">
        <w:rPr>
          <w:rFonts w:ascii="Arial" w:eastAsia="Times New Roman" w:hAnsi="Arial" w:cs="Arial"/>
          <w:sz w:val="28"/>
          <w:szCs w:val="28"/>
          <w:lang w:val="en-GB"/>
        </w:rPr>
        <w:t> </w:t>
      </w:r>
    </w:p>
    <w:p w14:paraId="543057B4"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sz w:val="28"/>
          <w:szCs w:val="28"/>
          <w:lang w:val="en-GB"/>
        </w:rPr>
        <w:t>And upon the submission of the Executive Director of Financial Institutions Supervision, </w:t>
      </w:r>
    </w:p>
    <w:p w14:paraId="5DA17220"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b/>
          <w:bCs/>
          <w:sz w:val="28"/>
          <w:szCs w:val="28"/>
          <w:lang w:val="en-GB"/>
        </w:rPr>
        <w:t>Hereby Decides: </w:t>
      </w:r>
    </w:p>
    <w:p w14:paraId="15A41862"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b/>
          <w:bCs/>
          <w:sz w:val="28"/>
          <w:szCs w:val="28"/>
          <w:lang w:val="en-GB"/>
        </w:rPr>
        <w:t>Article (1) </w:t>
      </w:r>
    </w:p>
    <w:p w14:paraId="53482A83"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sz w:val="28"/>
          <w:szCs w:val="28"/>
          <w:lang w:val="en-GB"/>
        </w:rPr>
        <w:t>The texts of subcategories (a) and (c) of Paragraph (4) of the Table specified in Article No. (1) of Regulation No. (1) of 2007 regarding Services Subject to the Supervision of the Central Bank of Bahrain shall be replaced with the following text: </w:t>
      </w:r>
    </w:p>
    <w:tbl>
      <w:tblPr>
        <w:tblStyle w:val="TableGrid"/>
        <w:tblW w:w="0" w:type="auto"/>
        <w:tblInd w:w="0" w:type="dxa"/>
        <w:tblLook w:val="04A0" w:firstRow="1" w:lastRow="0" w:firstColumn="1" w:lastColumn="0" w:noHBand="0" w:noVBand="1"/>
      </w:tblPr>
      <w:tblGrid>
        <w:gridCol w:w="745"/>
        <w:gridCol w:w="1802"/>
        <w:gridCol w:w="1990"/>
        <w:gridCol w:w="4525"/>
      </w:tblGrid>
      <w:tr w:rsidR="00C074F9" w:rsidRPr="00C074F9" w14:paraId="589CF0F9" w14:textId="77777777" w:rsidTr="00C074F9">
        <w:tc>
          <w:tcPr>
            <w:tcW w:w="745" w:type="dxa"/>
          </w:tcPr>
          <w:p w14:paraId="1D026906" w14:textId="77777777" w:rsidR="00C074F9" w:rsidRPr="00C074F9" w:rsidRDefault="00C074F9" w:rsidP="008A5A54">
            <w:pPr>
              <w:spacing w:before="120" w:after="0" w:line="360" w:lineRule="auto"/>
              <w:rPr>
                <w:rFonts w:ascii="Arial" w:eastAsia="Times New Roman" w:hAnsi="Arial" w:cs="Arial"/>
                <w:sz w:val="28"/>
                <w:szCs w:val="28"/>
                <w:lang w:val="en-GB"/>
              </w:rPr>
            </w:pPr>
            <w:r w:rsidRPr="00C074F9">
              <w:rPr>
                <w:rFonts w:ascii="Arial" w:eastAsia="Times New Roman" w:hAnsi="Arial" w:cs="Arial"/>
                <w:b/>
                <w:bCs/>
                <w:sz w:val="28"/>
                <w:szCs w:val="28"/>
                <w:lang w:val="en-GB"/>
              </w:rPr>
              <w:t>No. </w:t>
            </w:r>
          </w:p>
        </w:tc>
        <w:tc>
          <w:tcPr>
            <w:tcW w:w="1802" w:type="dxa"/>
          </w:tcPr>
          <w:p w14:paraId="0083C4CE" w14:textId="77777777" w:rsidR="00C074F9" w:rsidRPr="00C074F9" w:rsidRDefault="00C074F9" w:rsidP="008A5A54">
            <w:pPr>
              <w:spacing w:before="120" w:after="0" w:line="360" w:lineRule="auto"/>
              <w:rPr>
                <w:rFonts w:ascii="Arial" w:eastAsia="Times New Roman" w:hAnsi="Arial" w:cs="Arial"/>
                <w:sz w:val="28"/>
                <w:szCs w:val="28"/>
                <w:lang w:val="en-GB"/>
              </w:rPr>
            </w:pPr>
            <w:r w:rsidRPr="00C074F9">
              <w:rPr>
                <w:rFonts w:ascii="Arial" w:eastAsia="Times New Roman" w:hAnsi="Arial" w:cs="Arial"/>
                <w:b/>
                <w:bCs/>
                <w:sz w:val="28"/>
                <w:szCs w:val="28"/>
                <w:lang w:val="en-GB"/>
              </w:rPr>
              <w:t>Main Category </w:t>
            </w:r>
          </w:p>
        </w:tc>
        <w:tc>
          <w:tcPr>
            <w:tcW w:w="1984" w:type="dxa"/>
          </w:tcPr>
          <w:p w14:paraId="5A21BA19" w14:textId="77777777" w:rsidR="00C074F9" w:rsidRPr="00C074F9" w:rsidRDefault="00C074F9" w:rsidP="008A5A54">
            <w:pPr>
              <w:spacing w:before="120" w:after="0" w:line="360" w:lineRule="auto"/>
              <w:rPr>
                <w:rFonts w:ascii="Arial" w:eastAsia="Times New Roman" w:hAnsi="Arial" w:cs="Arial"/>
                <w:sz w:val="28"/>
                <w:szCs w:val="28"/>
                <w:lang w:val="en-GB"/>
              </w:rPr>
            </w:pPr>
            <w:r w:rsidRPr="00C074F9">
              <w:rPr>
                <w:rFonts w:ascii="Arial" w:eastAsia="Times New Roman" w:hAnsi="Arial" w:cs="Arial"/>
                <w:b/>
                <w:bCs/>
                <w:sz w:val="28"/>
                <w:szCs w:val="28"/>
                <w:lang w:val="en-GB"/>
              </w:rPr>
              <w:t>Subcategory </w:t>
            </w:r>
          </w:p>
        </w:tc>
        <w:tc>
          <w:tcPr>
            <w:tcW w:w="4531" w:type="dxa"/>
          </w:tcPr>
          <w:p w14:paraId="5AED31D0" w14:textId="77777777" w:rsidR="00C074F9" w:rsidRPr="00C074F9" w:rsidRDefault="00C074F9" w:rsidP="008A5A54">
            <w:pPr>
              <w:spacing w:before="120" w:after="0" w:line="360" w:lineRule="auto"/>
              <w:rPr>
                <w:rFonts w:ascii="Arial" w:eastAsia="Times New Roman" w:hAnsi="Arial" w:cs="Arial"/>
                <w:sz w:val="28"/>
                <w:szCs w:val="28"/>
                <w:lang w:val="en-GB"/>
              </w:rPr>
            </w:pPr>
            <w:r w:rsidRPr="00C074F9">
              <w:rPr>
                <w:rFonts w:ascii="Arial" w:eastAsia="Times New Roman" w:hAnsi="Arial" w:cs="Arial"/>
                <w:b/>
                <w:bCs/>
                <w:sz w:val="28"/>
                <w:szCs w:val="28"/>
                <w:lang w:val="en-GB"/>
              </w:rPr>
              <w:t>Services Subject to Supervision </w:t>
            </w:r>
          </w:p>
        </w:tc>
      </w:tr>
      <w:tr w:rsidR="00C074F9" w:rsidRPr="00C074F9" w14:paraId="1D0B0431" w14:textId="77777777" w:rsidTr="00C074F9">
        <w:tc>
          <w:tcPr>
            <w:tcW w:w="745" w:type="dxa"/>
          </w:tcPr>
          <w:p w14:paraId="17D55654" w14:textId="77777777" w:rsidR="00C074F9" w:rsidRPr="00C074F9" w:rsidRDefault="00C074F9" w:rsidP="008A5A54">
            <w:pPr>
              <w:spacing w:before="120" w:after="0" w:line="360" w:lineRule="auto"/>
              <w:rPr>
                <w:rFonts w:ascii="Arial" w:eastAsia="Times New Roman" w:hAnsi="Arial" w:cs="Arial"/>
                <w:sz w:val="28"/>
                <w:szCs w:val="28"/>
                <w:lang w:val="en-GB"/>
              </w:rPr>
            </w:pPr>
            <w:r w:rsidRPr="00C074F9">
              <w:rPr>
                <w:rFonts w:ascii="Arial" w:eastAsia="Times New Roman" w:hAnsi="Arial" w:cs="Arial"/>
                <w:sz w:val="28"/>
                <w:szCs w:val="28"/>
                <w:lang w:val="en-GB"/>
              </w:rPr>
              <w:t>4 </w:t>
            </w:r>
          </w:p>
        </w:tc>
        <w:tc>
          <w:tcPr>
            <w:tcW w:w="1802" w:type="dxa"/>
          </w:tcPr>
          <w:p w14:paraId="6E5D8E22" w14:textId="77777777" w:rsidR="00C074F9" w:rsidRPr="00C074F9" w:rsidRDefault="00C074F9" w:rsidP="008A5A54">
            <w:pPr>
              <w:spacing w:before="120" w:after="0" w:line="360" w:lineRule="auto"/>
              <w:rPr>
                <w:rFonts w:ascii="Arial" w:eastAsia="Times New Roman" w:hAnsi="Arial" w:cs="Arial"/>
                <w:sz w:val="28"/>
                <w:szCs w:val="28"/>
                <w:lang w:val="en-GB"/>
              </w:rPr>
            </w:pPr>
            <w:r w:rsidRPr="00C074F9">
              <w:rPr>
                <w:rFonts w:ascii="Arial" w:eastAsia="Times New Roman" w:hAnsi="Arial" w:cs="Arial"/>
                <w:sz w:val="28"/>
                <w:szCs w:val="28"/>
                <w:lang w:val="en-GB"/>
              </w:rPr>
              <w:t>Investment Companies </w:t>
            </w:r>
          </w:p>
        </w:tc>
        <w:tc>
          <w:tcPr>
            <w:tcW w:w="1984" w:type="dxa"/>
          </w:tcPr>
          <w:p w14:paraId="1622A258" w14:textId="77777777" w:rsidR="00C074F9" w:rsidRPr="00C074F9" w:rsidRDefault="00C074F9" w:rsidP="008A5A54">
            <w:pPr>
              <w:spacing w:before="120" w:after="0" w:line="360" w:lineRule="auto"/>
              <w:rPr>
                <w:rFonts w:ascii="Arial" w:eastAsia="Times New Roman" w:hAnsi="Arial" w:cs="Arial"/>
                <w:sz w:val="28"/>
                <w:szCs w:val="28"/>
                <w:lang w:val="en-GB"/>
              </w:rPr>
            </w:pPr>
            <w:r w:rsidRPr="00C074F9">
              <w:rPr>
                <w:rFonts w:ascii="Arial" w:eastAsia="Times New Roman" w:hAnsi="Arial" w:cs="Arial"/>
                <w:sz w:val="28"/>
                <w:szCs w:val="28"/>
                <w:lang w:val="en-GB"/>
              </w:rPr>
              <w:t>a- Investment Companies - Category (1) </w:t>
            </w:r>
          </w:p>
        </w:tc>
        <w:tc>
          <w:tcPr>
            <w:tcW w:w="4531" w:type="dxa"/>
          </w:tcPr>
          <w:p w14:paraId="49BAC456" w14:textId="77777777" w:rsidR="00C074F9" w:rsidRPr="00C074F9" w:rsidRDefault="00C074F9" w:rsidP="008A5A54">
            <w:pPr>
              <w:spacing w:before="120" w:after="0" w:line="360" w:lineRule="auto"/>
              <w:rPr>
                <w:rFonts w:ascii="Arial" w:eastAsia="Times New Roman" w:hAnsi="Arial" w:cs="Arial"/>
                <w:sz w:val="28"/>
                <w:szCs w:val="28"/>
                <w:lang w:val="en-GB"/>
              </w:rPr>
            </w:pPr>
            <w:r w:rsidRPr="00C074F9">
              <w:rPr>
                <w:rFonts w:ascii="Arial" w:eastAsia="Times New Roman" w:hAnsi="Arial" w:cs="Arial"/>
                <w:sz w:val="28"/>
                <w:szCs w:val="28"/>
                <w:lang w:val="en-GB"/>
              </w:rPr>
              <w:t xml:space="preserve">Trading in securities as an owner, trading in securities as an intermediary, asset management, management of investment portfolios, providing consultancy for securities trading, custodial </w:t>
            </w:r>
            <w:r w:rsidRPr="00C074F9">
              <w:rPr>
                <w:rFonts w:ascii="Arial" w:eastAsia="Times New Roman" w:hAnsi="Arial" w:cs="Arial"/>
                <w:sz w:val="28"/>
                <w:szCs w:val="28"/>
                <w:lang w:val="en-GB"/>
              </w:rPr>
              <w:lastRenderedPageBreak/>
              <w:t>services, arranging securities buying and selling transactions, arranging credit operations, providing advice on credit operations. </w:t>
            </w:r>
          </w:p>
        </w:tc>
      </w:tr>
      <w:tr w:rsidR="00C074F9" w:rsidRPr="00C074F9" w14:paraId="18AB36BE" w14:textId="77777777" w:rsidTr="00C074F9">
        <w:tc>
          <w:tcPr>
            <w:tcW w:w="745" w:type="dxa"/>
          </w:tcPr>
          <w:p w14:paraId="4AAC8353" w14:textId="38EDD70C" w:rsidR="00C074F9" w:rsidRPr="00C074F9" w:rsidRDefault="00C074F9" w:rsidP="00C074F9">
            <w:pPr>
              <w:spacing w:before="120" w:after="0" w:line="360" w:lineRule="auto"/>
              <w:rPr>
                <w:rFonts w:ascii="Arial" w:eastAsia="Times New Roman" w:hAnsi="Arial" w:cs="Arial"/>
                <w:sz w:val="28"/>
                <w:szCs w:val="28"/>
                <w:lang w:val="en-GB"/>
              </w:rPr>
            </w:pPr>
          </w:p>
        </w:tc>
        <w:tc>
          <w:tcPr>
            <w:tcW w:w="1802" w:type="dxa"/>
          </w:tcPr>
          <w:p w14:paraId="5736D17B" w14:textId="52A5AD15" w:rsidR="00C074F9" w:rsidRPr="00C074F9" w:rsidRDefault="00C074F9" w:rsidP="00C074F9">
            <w:pPr>
              <w:spacing w:before="120" w:after="0" w:line="360" w:lineRule="auto"/>
              <w:rPr>
                <w:rFonts w:ascii="Arial" w:eastAsia="Times New Roman" w:hAnsi="Arial" w:cs="Arial"/>
                <w:sz w:val="28"/>
                <w:szCs w:val="28"/>
                <w:lang w:val="en-GB"/>
              </w:rPr>
            </w:pPr>
          </w:p>
        </w:tc>
        <w:tc>
          <w:tcPr>
            <w:tcW w:w="1984" w:type="dxa"/>
          </w:tcPr>
          <w:p w14:paraId="6D0F3CB7" w14:textId="6EBC6907" w:rsidR="00C074F9" w:rsidRPr="00C074F9" w:rsidRDefault="00C074F9" w:rsidP="00C074F9">
            <w:pPr>
              <w:spacing w:before="120" w:after="0" w:line="360" w:lineRule="auto"/>
              <w:rPr>
                <w:rFonts w:ascii="Arial" w:eastAsia="Times New Roman" w:hAnsi="Arial" w:cs="Arial"/>
                <w:sz w:val="28"/>
                <w:szCs w:val="28"/>
                <w:lang w:val="en-GB"/>
              </w:rPr>
            </w:pPr>
            <w:r w:rsidRPr="00C074F9">
              <w:rPr>
                <w:rFonts w:ascii="Arial" w:eastAsia="Times New Roman" w:hAnsi="Arial" w:cs="Arial"/>
                <w:sz w:val="28"/>
                <w:szCs w:val="28"/>
                <w:lang w:val="en-GB"/>
              </w:rPr>
              <w:t>c- Investment Companies – Category (3) </w:t>
            </w:r>
          </w:p>
        </w:tc>
        <w:tc>
          <w:tcPr>
            <w:tcW w:w="4531" w:type="dxa"/>
          </w:tcPr>
          <w:p w14:paraId="7C991AEF" w14:textId="4D1621DC" w:rsidR="00C074F9" w:rsidRPr="00C074F9" w:rsidRDefault="00C074F9" w:rsidP="00C074F9">
            <w:pPr>
              <w:spacing w:before="120" w:after="0" w:line="360" w:lineRule="auto"/>
              <w:rPr>
                <w:rFonts w:ascii="Arial" w:eastAsia="Times New Roman" w:hAnsi="Arial" w:cs="Arial"/>
                <w:sz w:val="28"/>
                <w:szCs w:val="28"/>
                <w:lang w:val="en-GB"/>
              </w:rPr>
            </w:pPr>
            <w:r w:rsidRPr="00C074F9">
              <w:rPr>
                <w:rFonts w:ascii="Arial" w:eastAsia="Times New Roman" w:hAnsi="Arial" w:cs="Arial"/>
                <w:sz w:val="28"/>
                <w:szCs w:val="28"/>
                <w:lang w:val="en-GB"/>
              </w:rPr>
              <w:t>Arranging securities buying and selling transactions, providing consultancy in securities, arranging credit operations, providing advice on credit operations. </w:t>
            </w:r>
          </w:p>
        </w:tc>
      </w:tr>
    </w:tbl>
    <w:p w14:paraId="43B77FE8" w14:textId="77777777" w:rsidR="00C074F9" w:rsidRDefault="00C074F9" w:rsidP="000E1C41">
      <w:pPr>
        <w:spacing w:before="120" w:after="0" w:line="360" w:lineRule="auto"/>
        <w:rPr>
          <w:rFonts w:ascii="Arial" w:eastAsia="Times New Roman" w:hAnsi="Arial" w:cs="Arial"/>
          <w:b/>
          <w:bCs/>
          <w:sz w:val="28"/>
          <w:szCs w:val="28"/>
          <w:lang w:val="en-GB"/>
        </w:rPr>
      </w:pPr>
    </w:p>
    <w:p w14:paraId="6E038914" w14:textId="470FC9A4"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b/>
          <w:bCs/>
          <w:sz w:val="28"/>
          <w:szCs w:val="28"/>
          <w:lang w:val="en-GB"/>
        </w:rPr>
        <w:t>Article (2) </w:t>
      </w:r>
    </w:p>
    <w:p w14:paraId="18AEA72C"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sz w:val="28"/>
          <w:szCs w:val="28"/>
          <w:lang w:val="en-GB"/>
        </w:rPr>
        <w:t>The concerned directorates of the Central Bank of Bahrain shall implement the provisions of this Decision, and it shall come into force from the day following the date of its publication in the Official Gazette. </w:t>
      </w:r>
    </w:p>
    <w:p w14:paraId="7F5013D4"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b/>
          <w:bCs/>
          <w:sz w:val="28"/>
          <w:szCs w:val="28"/>
          <w:lang w:val="en-GB"/>
        </w:rPr>
        <w:t>Governor of the Central Bank of Bahrain </w:t>
      </w:r>
    </w:p>
    <w:p w14:paraId="3E15ABD8"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b/>
          <w:bCs/>
          <w:sz w:val="28"/>
          <w:szCs w:val="28"/>
          <w:lang w:val="en-GB"/>
        </w:rPr>
        <w:t>Rasheed Mohammed Al Maraj </w:t>
      </w:r>
    </w:p>
    <w:p w14:paraId="606E52CF" w14:textId="77777777" w:rsidR="00AF78BA" w:rsidRPr="00AF78BA" w:rsidRDefault="00AF78BA" w:rsidP="000E1C41">
      <w:pPr>
        <w:spacing w:before="120" w:after="0" w:line="360" w:lineRule="auto"/>
        <w:rPr>
          <w:rFonts w:ascii="Arial" w:eastAsia="Times New Roman" w:hAnsi="Arial" w:cs="Arial"/>
          <w:sz w:val="28"/>
          <w:szCs w:val="28"/>
          <w:lang w:val="en-GB"/>
        </w:rPr>
      </w:pPr>
      <w:r w:rsidRPr="00AF78BA">
        <w:rPr>
          <w:rFonts w:ascii="Arial" w:eastAsia="Times New Roman" w:hAnsi="Arial" w:cs="Arial"/>
          <w:sz w:val="28"/>
          <w:szCs w:val="28"/>
          <w:lang w:val="en-GB"/>
        </w:rPr>
        <w:t xml:space="preserve">Issued </w:t>
      </w:r>
      <w:proofErr w:type="gramStart"/>
      <w:r w:rsidRPr="00AF78BA">
        <w:rPr>
          <w:rFonts w:ascii="Arial" w:eastAsia="Times New Roman" w:hAnsi="Arial" w:cs="Arial"/>
          <w:sz w:val="28"/>
          <w:szCs w:val="28"/>
          <w:lang w:val="en-GB"/>
        </w:rPr>
        <w:t>on:</w:t>
      </w:r>
      <w:proofErr w:type="gramEnd"/>
      <w:r w:rsidRPr="00AF78BA">
        <w:rPr>
          <w:rFonts w:ascii="Arial" w:eastAsia="Times New Roman" w:hAnsi="Arial" w:cs="Arial"/>
          <w:sz w:val="28"/>
          <w:szCs w:val="28"/>
          <w:lang w:val="en-GB"/>
        </w:rPr>
        <w:t> 19 Dhu Al-</w:t>
      </w:r>
      <w:proofErr w:type="spellStart"/>
      <w:r w:rsidRPr="00AF78BA">
        <w:rPr>
          <w:rFonts w:ascii="Arial" w:eastAsia="Times New Roman" w:hAnsi="Arial" w:cs="Arial"/>
          <w:sz w:val="28"/>
          <w:szCs w:val="28"/>
          <w:lang w:val="en-GB"/>
        </w:rPr>
        <w:t>Hijjah</w:t>
      </w:r>
      <w:proofErr w:type="spellEnd"/>
      <w:r w:rsidRPr="00AF78BA">
        <w:rPr>
          <w:rFonts w:ascii="Arial" w:eastAsia="Times New Roman" w:hAnsi="Arial" w:cs="Arial"/>
          <w:sz w:val="28"/>
          <w:szCs w:val="28"/>
          <w:lang w:val="en-GB"/>
        </w:rPr>
        <w:t xml:space="preserve"> 1441 A.H. </w:t>
      </w:r>
    </w:p>
    <w:p w14:paraId="036BCB22" w14:textId="77777777" w:rsidR="00AF78BA" w:rsidRPr="00AF78BA" w:rsidRDefault="00AF78BA" w:rsidP="000E1C41">
      <w:pPr>
        <w:spacing w:before="120" w:after="0" w:line="360" w:lineRule="auto"/>
        <w:rPr>
          <w:rFonts w:ascii="Arial" w:hAnsi="Arial" w:cs="Arial"/>
          <w:sz w:val="28"/>
          <w:szCs w:val="28"/>
        </w:rPr>
      </w:pPr>
      <w:r w:rsidRPr="00AF78BA">
        <w:rPr>
          <w:rFonts w:ascii="Arial" w:eastAsia="Times New Roman" w:hAnsi="Arial" w:cs="Arial"/>
          <w:sz w:val="28"/>
          <w:szCs w:val="28"/>
          <w:lang w:val="en-GB"/>
        </w:rPr>
        <w:t>Corresponding to: 9 August 2020 </w:t>
      </w:r>
    </w:p>
    <w:sectPr w:rsidR="00AF78BA" w:rsidRPr="00AF78BA" w:rsidSect="00805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BA"/>
    <w:rsid w:val="000129C5"/>
    <w:rsid w:val="000E1C41"/>
    <w:rsid w:val="001D1C13"/>
    <w:rsid w:val="0024482E"/>
    <w:rsid w:val="00435380"/>
    <w:rsid w:val="00805B1C"/>
    <w:rsid w:val="00AF78BA"/>
    <w:rsid w:val="00C074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C93BB"/>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2024-05-14T09:37:00Z</dcterms:created>
  <dcterms:modified xsi:type="dcterms:W3CDTF">2024-05-27T15:41:00Z</dcterms:modified>
</cp:coreProperties>
</file>