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9EAA3" w14:textId="77777777" w:rsidR="000D430F" w:rsidRPr="000D430F" w:rsidRDefault="000D430F" w:rsidP="008B3BE6">
      <w:pPr>
        <w:spacing w:before="120" w:after="0" w:line="360" w:lineRule="auto"/>
        <w:rPr>
          <w:rFonts w:ascii="Arial" w:eastAsia="Times New Roman" w:hAnsi="Arial" w:cs="Arial"/>
          <w:b/>
          <w:bCs/>
          <w:sz w:val="28"/>
          <w:szCs w:val="28"/>
          <w:lang w:val="en-GB"/>
        </w:rPr>
      </w:pPr>
      <w:r w:rsidRPr="000D430F">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40B4503" w14:textId="77777777" w:rsidR="000D430F" w:rsidRPr="000D430F" w:rsidRDefault="000D430F" w:rsidP="008B3BE6">
      <w:pPr>
        <w:spacing w:before="120" w:after="0" w:line="360" w:lineRule="auto"/>
        <w:rPr>
          <w:rFonts w:ascii="Arial" w:eastAsia="Times New Roman" w:hAnsi="Arial" w:cs="Arial"/>
          <w:b/>
          <w:bCs/>
          <w:sz w:val="28"/>
          <w:szCs w:val="28"/>
          <w:lang w:val="en-GB"/>
        </w:rPr>
      </w:pPr>
      <w:r w:rsidRPr="000D430F">
        <w:rPr>
          <w:rFonts w:ascii="Arial" w:eastAsia="Times New Roman" w:hAnsi="Arial" w:cs="Arial"/>
          <w:b/>
          <w:bCs/>
          <w:sz w:val="28"/>
          <w:szCs w:val="28"/>
          <w:lang w:val="en-GB"/>
        </w:rPr>
        <w:t>For any corrections, remarks, or suggestions, kindly contact us on translate@lloc.gov.bh</w:t>
      </w:r>
    </w:p>
    <w:p w14:paraId="5F6336BD" w14:textId="77777777" w:rsidR="000D430F" w:rsidRPr="000D430F" w:rsidRDefault="000D430F" w:rsidP="008B3BE6">
      <w:pPr>
        <w:spacing w:before="120" w:after="0" w:line="360" w:lineRule="auto"/>
        <w:rPr>
          <w:rFonts w:ascii="Arial" w:eastAsia="Times New Roman" w:hAnsi="Arial" w:cs="Arial"/>
          <w:b/>
          <w:bCs/>
          <w:sz w:val="28"/>
          <w:szCs w:val="28"/>
          <w:lang w:val="en-GB"/>
        </w:rPr>
      </w:pPr>
      <w:r w:rsidRPr="000D430F">
        <w:rPr>
          <w:rFonts w:ascii="Arial" w:eastAsia="Times New Roman" w:hAnsi="Arial" w:cs="Arial"/>
          <w:b/>
          <w:bCs/>
          <w:sz w:val="28"/>
          <w:szCs w:val="28"/>
          <w:lang w:val="en-GB"/>
        </w:rPr>
        <w:t>Published on the website on May 2024</w:t>
      </w:r>
      <w:r w:rsidRPr="000D430F">
        <w:rPr>
          <w:rFonts w:ascii="Arial" w:eastAsia="Times New Roman" w:hAnsi="Arial" w:cs="Arial"/>
          <w:b/>
          <w:bCs/>
          <w:sz w:val="28"/>
          <w:szCs w:val="28"/>
          <w:lang w:val="en-GB"/>
        </w:rPr>
        <w:br w:type="page"/>
      </w:r>
    </w:p>
    <w:p w14:paraId="7C37E8C4"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lastRenderedPageBreak/>
        <w:t>Legislative Decree No.(45) of 2018 regarding the Retirement System for Ministers and their Equivalents and Retirement Benefits for Members of the Shura Council, the Council of Representatives and Municipal Councils </w:t>
      </w:r>
    </w:p>
    <w:p w14:paraId="07E9ADEE"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br w:type="page"/>
      </w:r>
    </w:p>
    <w:p w14:paraId="2AC2275A"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We, Hamad bin Isa Al Khalifa King of the Kingdom of Bahrain. </w:t>
      </w:r>
    </w:p>
    <w:p w14:paraId="756C81C2"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Having reviewed the Constitution, particularly Article (38) thereof; </w:t>
      </w:r>
    </w:p>
    <w:p w14:paraId="5EBAD60D"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 xml:space="preserve">Law No. (13) of 1975 regarding the Regulating of Pensions and Retirement Gratuities for Government Employees, as </w:t>
      </w:r>
      <w:r w:rsidRPr="000D430F">
        <w:rPr>
          <w:rFonts w:ascii="Arial" w:eastAsia="Times New Roman" w:hAnsi="Arial" w:cs="Arial" w:hint="cs"/>
          <w:sz w:val="28"/>
          <w:szCs w:val="28"/>
          <w:lang w:val="en-GB"/>
        </w:rPr>
        <w:t xml:space="preserve">، </w:t>
      </w:r>
      <w:r w:rsidRPr="000D430F">
        <w:rPr>
          <w:rFonts w:ascii="Arial" w:eastAsia="Times New Roman" w:hAnsi="Arial" w:cs="Arial"/>
          <w:sz w:val="28"/>
          <w:szCs w:val="28"/>
          <w:lang w:val="en-GB"/>
        </w:rPr>
        <w:t>amended; </w:t>
      </w:r>
    </w:p>
    <w:p w14:paraId="40B2A430"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Municipal Law promulgated by Legislative Decree No. (35) of 2001, as amended; </w:t>
      </w:r>
    </w:p>
    <w:p w14:paraId="20519BC2"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Legislative Decree No. (15) of 2002 regarding the Shura Council and the Council of Representatives, as</w:t>
      </w:r>
      <w:r w:rsidRPr="000D430F">
        <w:rPr>
          <w:rFonts w:ascii="Arial" w:eastAsia="Times New Roman" w:hAnsi="Arial" w:cs="Arial"/>
          <w:strike/>
          <w:sz w:val="28"/>
          <w:szCs w:val="28"/>
          <w:lang w:val="en-GB"/>
        </w:rPr>
        <w:t> </w:t>
      </w:r>
      <w:r w:rsidRPr="000D430F">
        <w:rPr>
          <w:rFonts w:ascii="Arial" w:eastAsia="Times New Roman" w:hAnsi="Arial" w:cs="Arial" w:hint="cs"/>
          <w:strike/>
          <w:sz w:val="28"/>
          <w:szCs w:val="28"/>
          <w:lang w:val="en-GB"/>
        </w:rPr>
        <w:t>،</w:t>
      </w:r>
      <w:r w:rsidRPr="000D430F">
        <w:rPr>
          <w:rFonts w:ascii="Arial" w:eastAsia="Times New Roman" w:hAnsi="Arial" w:cs="Arial"/>
          <w:sz w:val="28"/>
          <w:szCs w:val="28"/>
          <w:lang w:val="en-GB"/>
        </w:rPr>
        <w:t> amended; </w:t>
      </w:r>
    </w:p>
    <w:p w14:paraId="75D11E8A"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Law No. (3) of 2008 regarding the Social Insurance Organization, amended by Law No (33) of 2014; </w:t>
      </w:r>
    </w:p>
    <w:p w14:paraId="728D95C2"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And Law No. (32) of 2009 establishing the Pension and Retirement Benefits Fund for members of the Shura Council, the Council of Representatives and the Municipal Councils and regulating their pensions and benefits; </w:t>
      </w:r>
    </w:p>
    <w:p w14:paraId="3CB7169B"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And upon the proposal of the Prime Minister; </w:t>
      </w:r>
    </w:p>
    <w:p w14:paraId="56EB1E23"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And after the approval of the Council of Ministers, </w:t>
      </w:r>
    </w:p>
    <w:p w14:paraId="14EFF8CA"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Hereby Decree the following Law: </w:t>
      </w:r>
    </w:p>
    <w:p w14:paraId="55280937"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Article One: </w:t>
      </w:r>
    </w:p>
    <w:p w14:paraId="7BF666C8"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Ministers and persons of similar status benefit from a special pension scheme established by Royal Decree. </w:t>
      </w:r>
    </w:p>
    <w:p w14:paraId="36D204C3"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Article Two </w:t>
      </w:r>
    </w:p>
    <w:p w14:paraId="320D7B4A"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Each member of the Shura Council, the Council of Representatives, the Council of the Municipality of the Capital Municipal Council and the Municipal Councils receives, at the end of their term of office, a retirement benefits equivalent to the last monthly benefits they received during their term of office, for each full year of membership. </w:t>
      </w:r>
    </w:p>
    <w:p w14:paraId="4A3FA68A"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Article Three </w:t>
      </w:r>
    </w:p>
    <w:p w14:paraId="06E4E21D"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The general State budget shall ensure the allocation of sufficient resources to finance the retirement benefits provided for in Article two of this Law. </w:t>
      </w:r>
    </w:p>
    <w:p w14:paraId="15C32E2E"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Article Four </w:t>
      </w:r>
    </w:p>
    <w:p w14:paraId="7BCF64A9"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Law No. (32) of 2009 establishing the Pension and Retirement Benefits Fund for members of the Shura Council, the Council of Representatives and the Municipal Councils and regulating their pensions and benefits; is repealed, as are any provisions contrary to the provisions of this Law. </w:t>
      </w:r>
    </w:p>
    <w:p w14:paraId="5E55B24F"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Article Five </w:t>
      </w:r>
    </w:p>
    <w:p w14:paraId="18A677EA"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The funds, rights and obligations of the Pension and Retirement Benefits Fund for the members of the Shura Council, the Council of Representatives and the Municipal Councils shall be transferred to the Social Insurance Organization. The Authority is responsible for managing and investing these funds, and undertakes to pay the prescribed pensions for members whose term of office expired before the entry into force of the provisions of this Law and their beneficiaries. </w:t>
      </w:r>
    </w:p>
    <w:p w14:paraId="4552FF1C"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Article Six </w:t>
      </w:r>
    </w:p>
    <w:p w14:paraId="1C11AA5E"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The Minister of Finance shall issue the necessary decisions to implement the provisions of this Law. </w:t>
      </w:r>
    </w:p>
    <w:p w14:paraId="6CC19FC7"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Article Seven </w:t>
      </w:r>
    </w:p>
    <w:p w14:paraId="5B1B8802"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The Prime Minister, the Ministers, and those concerned - each within his jurisdiction- shall implement the provisions of this Law, and it shall come into force from the date of the start of the fifth legislature of the Shura and the Representative Councils, and the formation of the new Ministry and the next Municipal Councils, where applicable. </w:t>
      </w:r>
    </w:p>
    <w:p w14:paraId="4A3D9229"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King of Kingdom of Bahrain </w:t>
      </w:r>
    </w:p>
    <w:p w14:paraId="371D1C24"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Hamad bin Isa Al Khalifa </w:t>
      </w:r>
    </w:p>
    <w:p w14:paraId="72CD6478"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Prime Minister </w:t>
      </w:r>
    </w:p>
    <w:p w14:paraId="4C94562A"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b/>
          <w:bCs/>
          <w:sz w:val="28"/>
          <w:szCs w:val="28"/>
          <w:lang w:val="en-GB"/>
        </w:rPr>
        <w:t>Khalifa bin Salman Al Khalifa </w:t>
      </w:r>
    </w:p>
    <w:p w14:paraId="71BA6BC9"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Issued at Riffa Palace: </w:t>
      </w:r>
    </w:p>
    <w:p w14:paraId="17C5F8C1"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On: 15 Muharram 1440 A.H. </w:t>
      </w:r>
    </w:p>
    <w:p w14:paraId="20E4CBF9" w14:textId="77777777" w:rsidR="000D430F" w:rsidRPr="000D430F" w:rsidRDefault="000D430F" w:rsidP="008B3BE6">
      <w:pPr>
        <w:spacing w:before="120" w:after="0" w:line="360" w:lineRule="auto"/>
        <w:rPr>
          <w:rFonts w:ascii="Arial" w:eastAsia="Times New Roman" w:hAnsi="Arial" w:cs="Arial"/>
          <w:sz w:val="28"/>
          <w:szCs w:val="28"/>
          <w:lang w:val="en-GB"/>
        </w:rPr>
      </w:pPr>
      <w:r w:rsidRPr="000D430F">
        <w:rPr>
          <w:rFonts w:ascii="Arial" w:eastAsia="Times New Roman" w:hAnsi="Arial" w:cs="Arial"/>
          <w:sz w:val="28"/>
          <w:szCs w:val="28"/>
          <w:lang w:val="en-GB"/>
        </w:rPr>
        <w:t>Corresponding to: 25 September 2018 </w:t>
      </w:r>
    </w:p>
    <w:p w14:paraId="0471CA5B" w14:textId="77777777" w:rsidR="000D430F" w:rsidRPr="000D430F" w:rsidRDefault="000D430F" w:rsidP="008B3BE6">
      <w:pPr>
        <w:spacing w:before="120" w:after="0" w:line="360" w:lineRule="auto"/>
        <w:rPr>
          <w:rFonts w:ascii="Arial" w:eastAsia="Times New Roman" w:hAnsi="Arial" w:cs="Arial"/>
          <w:b/>
          <w:bCs/>
          <w:sz w:val="28"/>
          <w:szCs w:val="28"/>
        </w:rPr>
      </w:pPr>
    </w:p>
    <w:p w14:paraId="1C6CAFB2" w14:textId="77777777" w:rsidR="000D430F" w:rsidRPr="000D430F" w:rsidRDefault="000D430F" w:rsidP="008B3BE6">
      <w:pPr>
        <w:spacing w:before="120" w:after="0" w:line="360" w:lineRule="auto"/>
        <w:rPr>
          <w:rFonts w:ascii="Arial" w:hAnsi="Arial" w:cs="Arial"/>
          <w:sz w:val="28"/>
          <w:szCs w:val="28"/>
        </w:rPr>
      </w:pPr>
    </w:p>
    <w:sectPr w:rsidR="000D430F" w:rsidRPr="000D430F" w:rsidSect="00D42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30F"/>
    <w:rsid w:val="000129C5"/>
    <w:rsid w:val="000D430F"/>
    <w:rsid w:val="00435380"/>
    <w:rsid w:val="00521F4E"/>
    <w:rsid w:val="008B3BE6"/>
    <w:rsid w:val="00D424F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1EDC3"/>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character" w:customStyle="1" w:styleId="deleted">
    <w:name w:val="delet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