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6B9FB" w14:textId="77777777" w:rsidR="00896F7F" w:rsidRPr="00896F7F" w:rsidRDefault="00896F7F" w:rsidP="00F81E4B">
      <w:pPr>
        <w:spacing w:before="120" w:after="0" w:line="360" w:lineRule="auto"/>
        <w:rPr>
          <w:rFonts w:ascii="Arial" w:eastAsia="Times New Roman" w:hAnsi="Arial" w:cs="Arial"/>
          <w:b/>
          <w:bCs/>
          <w:sz w:val="28"/>
          <w:szCs w:val="28"/>
          <w:lang w:val="en-GB"/>
        </w:rPr>
      </w:pPr>
      <w:r w:rsidRPr="00896F7F">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F19A6C7" w14:textId="77777777" w:rsidR="00896F7F" w:rsidRPr="00896F7F" w:rsidRDefault="00896F7F" w:rsidP="00F81E4B">
      <w:pPr>
        <w:spacing w:before="120" w:after="0" w:line="360" w:lineRule="auto"/>
        <w:rPr>
          <w:rFonts w:ascii="Arial" w:eastAsia="Times New Roman" w:hAnsi="Arial" w:cs="Arial"/>
          <w:b/>
          <w:bCs/>
          <w:sz w:val="28"/>
          <w:szCs w:val="28"/>
          <w:lang w:val="en-GB"/>
        </w:rPr>
      </w:pPr>
      <w:r w:rsidRPr="00896F7F">
        <w:rPr>
          <w:rFonts w:ascii="Arial" w:eastAsia="Times New Roman" w:hAnsi="Arial" w:cs="Arial"/>
          <w:b/>
          <w:bCs/>
          <w:sz w:val="28"/>
          <w:szCs w:val="28"/>
          <w:lang w:val="en-GB"/>
        </w:rPr>
        <w:t>For any corrections, remarks, or suggestions, kindly contact us on translate@lloc.gov.bh</w:t>
      </w:r>
    </w:p>
    <w:p w14:paraId="761FFCE7" w14:textId="77777777" w:rsidR="00896F7F" w:rsidRPr="00896F7F" w:rsidRDefault="00896F7F" w:rsidP="00F81E4B">
      <w:pPr>
        <w:spacing w:before="120" w:after="0" w:line="360" w:lineRule="auto"/>
        <w:rPr>
          <w:rFonts w:ascii="Arial" w:eastAsia="Times New Roman" w:hAnsi="Arial" w:cs="Arial"/>
          <w:b/>
          <w:bCs/>
          <w:sz w:val="28"/>
          <w:szCs w:val="28"/>
          <w:lang w:val="en-GB"/>
        </w:rPr>
      </w:pPr>
      <w:r w:rsidRPr="00896F7F">
        <w:rPr>
          <w:rFonts w:ascii="Arial" w:eastAsia="Times New Roman" w:hAnsi="Arial" w:cs="Arial"/>
          <w:b/>
          <w:bCs/>
          <w:sz w:val="28"/>
          <w:szCs w:val="28"/>
          <w:lang w:val="en-GB"/>
        </w:rPr>
        <w:t>Published on the website on May 2024</w:t>
      </w:r>
      <w:r w:rsidRPr="00896F7F">
        <w:rPr>
          <w:rFonts w:ascii="Arial" w:eastAsia="Times New Roman" w:hAnsi="Arial" w:cs="Arial"/>
          <w:b/>
          <w:bCs/>
          <w:sz w:val="28"/>
          <w:szCs w:val="28"/>
          <w:lang w:val="en-GB"/>
        </w:rPr>
        <w:br w:type="page"/>
      </w:r>
    </w:p>
    <w:p w14:paraId="4436173D" w14:textId="77777777" w:rsidR="00896F7F" w:rsidRPr="00896F7F" w:rsidRDefault="00896F7F" w:rsidP="00F81E4B">
      <w:pPr>
        <w:spacing w:before="120" w:after="0" w:line="360" w:lineRule="auto"/>
        <w:jc w:val="center"/>
        <w:rPr>
          <w:rFonts w:ascii="Arial" w:eastAsia="Times New Roman" w:hAnsi="Arial" w:cs="Arial"/>
          <w:sz w:val="28"/>
          <w:szCs w:val="28"/>
          <w:lang w:val="en-GB"/>
        </w:rPr>
      </w:pPr>
      <w:r w:rsidRPr="00896F7F">
        <w:rPr>
          <w:rFonts w:ascii="Arial" w:eastAsia="Times New Roman" w:hAnsi="Arial" w:cs="Arial"/>
          <w:b/>
          <w:bCs/>
          <w:sz w:val="28"/>
          <w:szCs w:val="28"/>
          <w:lang w:val="en-GB"/>
        </w:rPr>
        <w:lastRenderedPageBreak/>
        <w:t>Legislative Decree No. (31) of 1999 ratifying the Agreement on the Promotion and Protection of Investments Between The Government of the State of Bahrain and the Government of Malaysia</w:t>
      </w:r>
    </w:p>
    <w:p w14:paraId="6A265999"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br w:type="page"/>
      </w:r>
    </w:p>
    <w:p w14:paraId="5C4825A3"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We, Hamad bin Isa Al Khalifa Emir of the State of Bahrain. </w:t>
      </w:r>
    </w:p>
    <w:p w14:paraId="56D8BD00"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Having reviewed the Constitution; </w:t>
      </w:r>
    </w:p>
    <w:p w14:paraId="53D77A39"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Emiri Decree No. (4) of 1975; </w:t>
      </w:r>
    </w:p>
    <w:p w14:paraId="0C78B2A7"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And the Agreement on the Promotion and Protection of Investments between the Government of the State of Bahrain and the Government of Malaysia signed in Kula Lumpur on 15/6/1999, </w:t>
      </w:r>
    </w:p>
    <w:p w14:paraId="0D6A7142"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And upon the submission of the Minister of Finance and National Economy; </w:t>
      </w:r>
    </w:p>
    <w:p w14:paraId="4787BA7B"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And after the approval of the Council of Ministers, </w:t>
      </w:r>
    </w:p>
    <w:p w14:paraId="3D09E1CB"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Hereby Decree the following Law: </w:t>
      </w:r>
    </w:p>
    <w:p w14:paraId="3F27EBCF"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Article One </w:t>
      </w:r>
    </w:p>
    <w:p w14:paraId="798E2D7A"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The agreement on the promotion and protection of investments between the Government of the State of Bahrain and the Government of Malaysia, signed in the city of Kula Lumpur on 15/6/1999, and accompanying this law has been ratified. </w:t>
      </w:r>
    </w:p>
    <w:p w14:paraId="5E7393E2"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 Article Two </w:t>
      </w:r>
    </w:p>
    <w:p w14:paraId="12FD3AF8"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The Ministers - each within his jurisdiction- shall implement the provisions of this Law, and it shall come into force from the date of its publication in the Official Gazette. </w:t>
      </w:r>
    </w:p>
    <w:p w14:paraId="17CBE4DC"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Emir of the State of Bahrain </w:t>
      </w:r>
    </w:p>
    <w:p w14:paraId="04177835"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Hamad bin Isa Al Khalifa </w:t>
      </w:r>
    </w:p>
    <w:p w14:paraId="136B4A25"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Issued at Riffa Palace: </w:t>
      </w:r>
    </w:p>
    <w:p w14:paraId="16082C76"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On: 20 Rabi' Al-Akhir 1420 A.H. </w:t>
      </w:r>
    </w:p>
    <w:p w14:paraId="529E5520"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Corresponding to: 2 August 1999 </w:t>
      </w:r>
    </w:p>
    <w:p w14:paraId="1F34978D"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Agreement on the Promotion and Protection of Investments Between the Government of the State of Bahrain and the Government of Malaysia </w:t>
      </w:r>
    </w:p>
    <w:p w14:paraId="3FA6B76B"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The government of the State of Bahrain and the government of Malaysia, hereinafter referred to as (the contracting parties), </w:t>
      </w:r>
    </w:p>
    <w:p w14:paraId="79D74A60"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Desiring to expand and strengthen economic and industrial co-operation on a long term basis, and in particular, to create favourable conditions for investments by investors of one Contracting Party in the territory of the other Contracting Party;  </w:t>
      </w:r>
    </w:p>
    <w:p w14:paraId="534D4227"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Recognizing the need to protect investments by investors of both Contracting Parties and to stimulate the flow of investments and individual business initiative with a view to promoting the economic prosperity of both Contracting Parties;  </w:t>
      </w:r>
    </w:p>
    <w:p w14:paraId="55EFC6FB"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Have agreed as follows: </w:t>
      </w:r>
    </w:p>
    <w:p w14:paraId="6AB16BD7"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Article -1- </w:t>
      </w:r>
    </w:p>
    <w:p w14:paraId="3382FD15"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u w:val="single"/>
          <w:lang w:val="en-GB"/>
        </w:rPr>
        <w:t>Definitions </w:t>
      </w:r>
    </w:p>
    <w:p w14:paraId="4333F0A3"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For the purposes of this Convention: </w:t>
      </w:r>
    </w:p>
    <w:p w14:paraId="3AA3672B"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a.        "Investments" means every kind of asset and in particular, though not exclusively, includes:  </w:t>
      </w:r>
    </w:p>
    <w:p w14:paraId="29B9C12D"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1.       Movable and immovable property and any other property rights such as mortgages, liens or pledges and any other similar rights as defined in accordance with the laws and regulations of the Contracting Party in whose territory the property is situated;  </w:t>
      </w:r>
    </w:p>
    <w:p w14:paraId="5634AC0B"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2.       shares, stocks and debentures of companies or any other rights and interests in the property of such companies;  </w:t>
      </w:r>
    </w:p>
    <w:p w14:paraId="3DB913E3"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3.       claims to money or to any performance having financial value;  </w:t>
      </w:r>
    </w:p>
    <w:p w14:paraId="003CC8E8"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4.       intellectual and industrial property rights, including rights with respect to copyrights, patents, trademarks, trade names, industrial designs, trade secrets, technical processes and know-how and goodwill;  </w:t>
      </w:r>
    </w:p>
    <w:p w14:paraId="36F40CCD"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5.       business concessions conferred by law or under contract, including concessions to search for, cultivate, extract, or exploit natural resources;  </w:t>
      </w:r>
    </w:p>
    <w:p w14:paraId="4B9BE7DE"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b.    "investor" means:  </w:t>
      </w:r>
    </w:p>
    <w:p w14:paraId="371B1E3E"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1.       Any natural person possessing the citizenship of or permanently residing in the territory of a Contracting Party in accordance with its laws; or  </w:t>
      </w:r>
    </w:p>
    <w:p w14:paraId="26640E43"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2.       Any corporation, partnership, trust, joint-venture, organisation, association or enterprise incorporated or duly constituted in accordance with applicable laws of that Contracting Party;  </w:t>
      </w:r>
    </w:p>
    <w:p w14:paraId="6783DCBB"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c.    "territory" means:  </w:t>
      </w:r>
    </w:p>
    <w:p w14:paraId="48B7DB35"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1.       With respect to the State of Bahrain, the territory under the sovereignty of the State of Bahrain including the territorial seas, the Continental Shelf and any exclusive economic zone over which it exercises sovereign rights and jurisdiction in accordance with International law;  </w:t>
      </w:r>
    </w:p>
    <w:p w14:paraId="506161F6"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2.       With respect to Malaysia, all land territory comprising the Federation of Malaysia, the territorial sea, its bed and subsoil and airspace above;  </w:t>
      </w:r>
    </w:p>
    <w:p w14:paraId="42F7EED0"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d.       "Freely usable currency" means the United States Dollar, Pound Sterling, Deutsche Mark, French Franc, Japanese Yen or any other currency that is widely used to make payments for international transactions and widely traded in the international principal exchange markets.  </w:t>
      </w:r>
    </w:p>
    <w:p w14:paraId="3C91703D"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1.        The term "investments" referred to in paragraph l(a) shall only refer to all investments that are made in accordance with the laws, regulations and national policies of the Contracting Parties.  </w:t>
      </w:r>
    </w:p>
    <w:p w14:paraId="328BA35C"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2.       Any alteration of the form in which assets are invested shall not affect their classification as investments, provided that such alteration is not contrary to the approval, if any, granted in respect of the assets originally invested.  </w:t>
      </w:r>
    </w:p>
    <w:p w14:paraId="3206DA0A"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Article -2- </w:t>
      </w:r>
    </w:p>
    <w:p w14:paraId="4BE76E66"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u w:val="single"/>
          <w:lang w:val="en-GB"/>
        </w:rPr>
        <w:t>Promotion and Protection of Investments </w:t>
      </w:r>
    </w:p>
    <w:p w14:paraId="088324D0"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1.     Each Contracting Party shall encourage and create favourable conditions for investors of the other Contracting Party to invest capital in its territory and, in accordance with its laws, regulations and national policies, shall admit such Investments.  </w:t>
      </w:r>
    </w:p>
    <w:p w14:paraId="2A27E64D"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2.     Investments of investors from any of the two Contracting Parties shall be treated at all times with fair equitable treatment and enjoy complete and adequate protection and security in the territory of the other Contracting Party. </w:t>
      </w:r>
    </w:p>
    <w:p w14:paraId="57BAEE4A"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Neither Contracting Party shall in any way impair by unreasonable or discriminatory measures the management, maintenance, use, enjoyment or disposal of investments in its territory of investors of the other Contracting Party.  </w:t>
      </w:r>
    </w:p>
    <w:p w14:paraId="39547050"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Article -3- </w:t>
      </w:r>
    </w:p>
    <w:p w14:paraId="77658852"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u w:val="single"/>
          <w:lang w:val="en-GB"/>
        </w:rPr>
        <w:t>Most-favoured-nation Clauses </w:t>
      </w:r>
    </w:p>
    <w:p w14:paraId="0D2BBB23"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1. Investments made by investors of either Contracting Party in the territory of the other Contracting Party shall receive treatment which is fair and equitable, and not less favourable than that accorded to investments made by investors of any third State.  </w:t>
      </w:r>
    </w:p>
    <w:p w14:paraId="61B6DF3E"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2. The provisions of this Agreement relative to the granting of treatment not less favourable than that accorded to the investors of any third State shall not be construed so as to oblige one Contracting Party to extend to the investors of the other the benefit of any treatment, preference or privilege resulting from:  </w:t>
      </w:r>
    </w:p>
    <w:p w14:paraId="3F9F29D6"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(a) Any existing or future customs union or free trade area or a common market or a monetary union or similar international agreement or other forms of regional co-operation to which either of the Contracting Parties is or may become a party; or the adoption of an agreement designed to lead to the formation or extension of such a union or area within a reasonable length of time; or  </w:t>
      </w:r>
    </w:p>
    <w:p w14:paraId="5814C830"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(b) Any international agreement or arrangement relating wholly or mainly to taxation or any domestic legislation relating wholly or mainly to taxation.  </w:t>
      </w:r>
    </w:p>
    <w:p w14:paraId="3050C449"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Article -4- </w:t>
      </w:r>
    </w:p>
    <w:p w14:paraId="2586FF1C"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u w:val="single"/>
          <w:lang w:val="en-GB"/>
        </w:rPr>
        <w:t>Compensation for Losses  </w:t>
      </w:r>
    </w:p>
    <w:p w14:paraId="46F59FCD"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Investors of one Contracting Party whose investments in the territory of the other Contracting Party suffer losses owing to war or other armed conflict, revolution, a state of national emergency, revolt, insurrection or riot in the territory of the latter Contracting Party shall be accorded by the latter Contracting Party treatment, as regards restitution, indemnification, compensation or other settlement, no less favourable than that which the latter Contracting Party accords to investors of any third State.  </w:t>
      </w:r>
    </w:p>
    <w:p w14:paraId="58005204"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Article -5- </w:t>
      </w:r>
    </w:p>
    <w:p w14:paraId="1F57356D"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u w:val="single"/>
          <w:lang w:val="en-GB"/>
        </w:rPr>
        <w:t>Expropriation </w:t>
      </w:r>
    </w:p>
    <w:p w14:paraId="6FA9657F"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Neither Contracting Party shall take any measures of expropriation or nationalization against the investments of an Investor of the other Contracting Party except under the following conditions:  </w:t>
      </w:r>
    </w:p>
    <w:p w14:paraId="50A79D3D"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(a) The measures are taken for a lawful or public purpose and under due process of law;  </w:t>
      </w:r>
    </w:p>
    <w:p w14:paraId="494820C6"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(b) The measures are non-discriminatory;  </w:t>
      </w:r>
    </w:p>
    <w:p w14:paraId="6F1E302E"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(c) The measures are accompanied by provisions for the payment of prompt, adequate and effective compensation.  Such compensation shall amount to the market value of the investments affected immediately before the measure of dispossession became public knowledge, and it shall be freely transferable in freely usable currencies from the Contracting Party. Any unreasonable delay in payment of compensation shall carry an interest at prevailing commercial rate as agreed upon by both parties unless such rate is prescribed by law.  </w:t>
      </w:r>
    </w:p>
    <w:p w14:paraId="742B5642"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Article -6- </w:t>
      </w:r>
    </w:p>
    <w:p w14:paraId="3D99246D"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u w:val="single"/>
          <w:lang w:val="en-GB"/>
        </w:rPr>
        <w:t>Investments Transfer and Investments returns </w:t>
      </w:r>
    </w:p>
    <w:p w14:paraId="37174C94"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1. Each Contracting Party shall, subject to its laws, regulations and national policies allow without unreasonable delay the transfer in any freely usable currency: </w:t>
      </w:r>
    </w:p>
    <w:p w14:paraId="13E1A196"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a.      The net profits, dividends, royalties, technical fees, interest and other current income, accruing from any investment of the investors of the other Contracting Party; </w:t>
      </w:r>
    </w:p>
    <w:p w14:paraId="5200A679"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b.      The proceeds from the total or partial liquidation of any investment made by investors of the other Contracting Party; </w:t>
      </w:r>
    </w:p>
    <w:p w14:paraId="7DFF4586"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c.     Funds in repayment of borrowings/loans given by investors of one Contracting Party to the investors of the other Contracting Party which both Contracting Parties have recognised as investment; and </w:t>
      </w:r>
    </w:p>
    <w:p w14:paraId="451B1027"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d.      The net earnings and other compensations of a national of one Contracting Party who are employed and allowed to work in connection with an investment in the territory of the other Contracting Party. </w:t>
      </w:r>
    </w:p>
    <w:p w14:paraId="3A47865A"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2. The exchange rates applicable to such transfer in the paragraph 1 of this Article shall be the rate of exchange prevailing at the time of remittance. </w:t>
      </w:r>
    </w:p>
    <w:p w14:paraId="64FA10E5"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3. The Contracting Parties undertake to accord to the transfers referred to in paragraph 1 of this Article a treatment as favourable as that accorded to transfer originating from investments made by investors of any third State,  </w:t>
      </w:r>
    </w:p>
    <w:p w14:paraId="6867181A"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Article -7- </w:t>
      </w:r>
    </w:p>
    <w:p w14:paraId="56148166"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u w:val="single"/>
          <w:lang w:val="en-GB"/>
        </w:rPr>
        <w:t>Settlement of Investment Disputes </w:t>
      </w:r>
    </w:p>
    <w:p w14:paraId="6BB50BBB"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1. Each Contracting Party consents to submit to the International Centre for the Settlement of Investment Disputes (hereinafter referred to as "the Centre") for settlement by conciliation or arbitration under the Convention on the Settlement of Investment Disputes between States and Nationals of other States opened for signature at Washington DC on 18 March 1965 any dispute arising between that Contracting Party and an investor of the other Contracting Party which involves: </w:t>
      </w:r>
    </w:p>
    <w:p w14:paraId="1B8FF16F"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A) An obligation entered into by that Contracting Party with the investor of the other Contracting Party regarding an investment by such investor; or  </w:t>
      </w:r>
    </w:p>
    <w:p w14:paraId="7C2DE365"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B) An alleged breach of any right conferred or created by this Agreement with respect to an investment by such investor.  </w:t>
      </w:r>
    </w:p>
    <w:p w14:paraId="0779A31D"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2. A company which is incorporated or constituted under the laws in force in the territory of one Contracting Party and in which before such a dispute arises the majority of shares are owned by investors of the other Contracting Party shall in accordance with Article 25(2)(b) of the Convention be treated for the purpose of this Convention as a company of the other Contracting Party. </w:t>
      </w:r>
    </w:p>
    <w:p w14:paraId="6073481B"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3. (i) If any dispute referred to in paragraph 1 arises, the Contracting Party and the investor concerned shall seek to resolve the dispute through consultation and negotiation, if the dispute cannot thus be resolved within three (3) months, then if the investor concerned also consents in writing to submit the dispute to the Centre for settlement by conciliation or arbitration under the Convention, either party to the dispute may institute proceedings by addressing a request to that effect to the Secretary-General of the Centre as provided for in Articles 28 and 36 of the Convention, provided that the investor concerned has not submitted the dispute to the courts of justice or administrative tribunals or agencies of competent jurisdiction of the Contracting Party that is party to the dispute; </w:t>
      </w:r>
    </w:p>
    <w:p w14:paraId="41A212F8"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(ii) In the event of disagreement as to whether conciliation or arbitration is the more appropriate procedure, the opinion of the investor concerned shall prevail. The Contracting Party which is a party to the dispute shall not raise as an objection, defence, or right of set-off at any stage of the proceedings or enforcement of an award the fact that the investor which is the other party to the dispute has received or will receive, pursuant to an insurance or guarantee contract, an indemnity or other compensation for all or part of his or its losses and damages.  </w:t>
      </w:r>
    </w:p>
    <w:p w14:paraId="01BE81CC"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4. Neither Contracting Party shall pursue through diplomatic channels any dispute referred to the Centre unless:  </w:t>
      </w:r>
    </w:p>
    <w:p w14:paraId="04863073"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(i) The Secretary-General of the Centre, or a conciliation commission or an arbitral tribunal constituted by it, decides that the dispute is not within the jurisdiction of the Centre; or  </w:t>
      </w:r>
    </w:p>
    <w:p w14:paraId="2AFD6E3E"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(ii) The other Contracting Party should fail to abide by or to comply with any award rendered by an arbitral tribunal.  </w:t>
      </w:r>
    </w:p>
    <w:p w14:paraId="577B0F6A"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Article -8- </w:t>
      </w:r>
    </w:p>
    <w:p w14:paraId="270B2A5E"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u w:val="single"/>
          <w:lang w:val="en-GB"/>
        </w:rPr>
        <w:t>Settlement of Disputes between the contracting parties </w:t>
      </w:r>
    </w:p>
    <w:p w14:paraId="726513A4"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1- Disputes as to interpretation or application of this agreement shall be settled through diplomatic channels. </w:t>
      </w:r>
    </w:p>
    <w:p w14:paraId="2AAF5CF6"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2- If a dispute between the Contracting Parties cannot be settled, It shall upon the request of either Contracting Party, be submitted to an arbitral tribunal. </w:t>
      </w:r>
    </w:p>
    <w:p w14:paraId="248E0FE0"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3- Such an arbitral tribunal shall be constituted for each individual case in the following way. Within two months of the receipt of the request for arbitration, each Contracting Party shall appoint one member of the tribunal.  Those two members shall then select a national of a third State who on approval by the two Contracting Parties shall be appointed Chairman of the tribunal. The Chairman shall be appointed within two months from the date of appointment of the other two members.  </w:t>
      </w:r>
    </w:p>
    <w:p w14:paraId="7903DB4A"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4- If within the periods specified in paragraph 3 of this Article the necessary appointments have not been made, either Contracting Party may, in the absence of any other agreement, invite the President of the International Court of Justice to make the necessary appointments.  If the President of the International Court of Justice is a national of either Contracting Party or if he is unable to fulfil the abovementioned mission, it shall request the Vice-President of the International Court of Justice to make the necessary appointments. If the Vice-President is a national of either Contracting Party or if he is unable to fulfil the abovementioned mission, it shall request the member of the International Court of Justice in precedence successor who shall not be a national of either of the Contracting Parties, to make the necessary appointments. </w:t>
      </w:r>
    </w:p>
    <w:p w14:paraId="24009AB3"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5. The arbitral tribunal shall reach its decision by a majority of votes. Such decision shall be binding on both Contracting Parties.  Each Contracting Party shall bear the cost of its own member of the tribunal and of its representation in the arbitral proceedings;  The cost of the Chairman and the remaining costs shall be borne in equal parts by the Contracting Parties.  The tribunal may, however, in its decision direct that a higher proportion of costs shall be borne by one of the two Contracting Parties,  and this award shall be binding on both Contracting Parties.  and the arbitral tribunal shall determine its procedures. </w:t>
      </w:r>
    </w:p>
    <w:p w14:paraId="463B7F65"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Article -9- </w:t>
      </w:r>
    </w:p>
    <w:p w14:paraId="739332A2"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u w:val="single"/>
          <w:lang w:val="en-GB"/>
        </w:rPr>
        <w:t>Subrogation </w:t>
      </w:r>
    </w:p>
    <w:p w14:paraId="710A7519"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1. If a Contracting Party or its designated agency makes a payment to any of its Investors under a guarantee, it has granted in respect of an investment, the other Contracting Party shall, without prejudice to the rights of the former Contracting Party under Article 7, recognize the transfer of any right or title of such investors to the former Contracting Party or its designated agency and the subrogation of the former Contracting Party or its designated agency to any right or title.  </w:t>
      </w:r>
    </w:p>
    <w:p w14:paraId="393B30DA"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2. The former Contracting Party or its designated agency shall be entitled in all circumstances to the same treatment in respect of the rights and claims acquired by it by virtue of the assignment and any payments received in pursuance of those rights and claims as the party indemnified was entitled to receive by virtue of this Agreement in respect of the investment concerned and its related returns.  </w:t>
      </w:r>
    </w:p>
    <w:p w14:paraId="2ECDDCE9"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Article -10- </w:t>
      </w:r>
    </w:p>
    <w:p w14:paraId="2AA09596"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u w:val="single"/>
          <w:lang w:val="en-GB"/>
        </w:rPr>
        <w:t>Scope of application to investments </w:t>
      </w:r>
    </w:p>
    <w:p w14:paraId="6D976525"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This Agreement shall apply to investments made in the territory of either Contracting Party in accordance with its laws, regulations or national policies by investors of the other Contracting Party prior to as well as after the entry into force of this Agreement.  </w:t>
      </w:r>
    </w:p>
    <w:p w14:paraId="64102B7C"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Article -11- </w:t>
      </w:r>
    </w:p>
    <w:p w14:paraId="5B611561"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u w:val="single"/>
          <w:lang w:val="en-GB"/>
        </w:rPr>
        <w:t>Amendments </w:t>
      </w:r>
    </w:p>
    <w:p w14:paraId="367E0234"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This agreement may be amended by mutual consent of both Contracting Parties at any time after it is in force. Any alteration or modification of this agreement shall be done without prejudice to the rights and obligations arising from this agreement prior to the date of such alteration or modification until such rights and obligations are fully implemented.  </w:t>
      </w:r>
    </w:p>
    <w:p w14:paraId="1B27682C"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Article -12- </w:t>
      </w:r>
    </w:p>
    <w:p w14:paraId="51D42D4F"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u w:val="single"/>
          <w:lang w:val="en-GB"/>
        </w:rPr>
        <w:t>Entry into Force, Duration and Termination  </w:t>
      </w:r>
    </w:p>
    <w:p w14:paraId="53DB1AEC"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1- 1. This Agreement shall enter into force thirty (30) days after the later date on which the Governments of the Contracting Parties have notified each other that their constitutional requirements for the entry into force of this Agreement have been fulfilled.  </w:t>
      </w:r>
    </w:p>
    <w:p w14:paraId="17A4A6CE"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2. This Agreement shall remain in force for a period of ten (10) years, and shall continue in force, unless terminated in accordance with paragraph 3 of this Article.  </w:t>
      </w:r>
    </w:p>
    <w:p w14:paraId="229FE2DD"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3. Either Contracting Party may by giving one (1) year's written notice to the other Contracting Party, terminate this Agreement at the end of the initial ten (10) year period or anytime thereafter.  </w:t>
      </w:r>
    </w:p>
    <w:p w14:paraId="6ACEEA56"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4. With respect to investments made or acquired prior to the date of termination of this Agreement, the provisions of all of the other Articles of this Agreement shall continue to be effective for a period of ten (10) years from such date of termination.  </w:t>
      </w:r>
    </w:p>
    <w:p w14:paraId="1F00CBF9"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IN WITNESS WHERE0F, the undersigned, duly authorised thereto by their respective Governments, have signed this Agreement.  </w:t>
      </w:r>
    </w:p>
    <w:p w14:paraId="7C9DC421"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sz w:val="28"/>
          <w:szCs w:val="28"/>
          <w:lang w:val="en-GB"/>
        </w:rPr>
        <w:t>DONE in duplicate at Kuala lumpur on 15 /6/ 1999 , each in the Arabic, Bahasa Malaysia, and English languages, the three texts being equally authentic. In the event of there being a dispute in the interpretation and the application of this Agreement, the English text shall prevail. </w:t>
      </w:r>
    </w:p>
    <w:p w14:paraId="4B7A1A6D" w14:textId="77777777" w:rsidR="00896F7F" w:rsidRPr="00896F7F" w:rsidRDefault="00896F7F" w:rsidP="00F81E4B">
      <w:pPr>
        <w:spacing w:before="120" w:after="0" w:line="360" w:lineRule="auto"/>
        <w:rPr>
          <w:rFonts w:ascii="Arial" w:eastAsia="Times New Roman" w:hAnsi="Arial" w:cs="Arial"/>
          <w:b/>
          <w:bCs/>
          <w:sz w:val="28"/>
          <w:szCs w:val="28"/>
          <w:lang w:val="en-GB"/>
        </w:rPr>
      </w:pPr>
      <w:r w:rsidRPr="00896F7F">
        <w:rPr>
          <w:rFonts w:ascii="Arial" w:eastAsia="Times New Roman" w:hAnsi="Arial" w:cs="Arial"/>
          <w:b/>
          <w:bCs/>
          <w:sz w:val="28"/>
          <w:szCs w:val="28"/>
          <w:lang w:val="en-GB"/>
        </w:rPr>
        <w:t xml:space="preserve">For the Government of the State of Bahrain </w:t>
      </w:r>
    </w:p>
    <w:p w14:paraId="2654ABEE" w14:textId="77777777" w:rsidR="00896F7F" w:rsidRPr="00896F7F" w:rsidRDefault="00896F7F" w:rsidP="00F81E4B">
      <w:pPr>
        <w:spacing w:before="120" w:after="0" w:line="360" w:lineRule="auto"/>
        <w:rPr>
          <w:rFonts w:ascii="Arial" w:eastAsia="Times New Roman" w:hAnsi="Arial" w:cs="Arial"/>
          <w:sz w:val="28"/>
          <w:szCs w:val="28"/>
          <w:lang w:val="en-GB"/>
        </w:rPr>
      </w:pPr>
      <w:r w:rsidRPr="00896F7F">
        <w:rPr>
          <w:rFonts w:ascii="Arial" w:eastAsia="Times New Roman" w:hAnsi="Arial" w:cs="Arial"/>
          <w:b/>
          <w:bCs/>
          <w:sz w:val="28"/>
          <w:szCs w:val="28"/>
          <w:lang w:val="en-GB"/>
        </w:rPr>
        <w:t>For the Government of Malaysia, </w:t>
      </w:r>
    </w:p>
    <w:p w14:paraId="19548542" w14:textId="77777777" w:rsidR="00896F7F" w:rsidRPr="00896F7F" w:rsidRDefault="00896F7F" w:rsidP="00F81E4B">
      <w:pPr>
        <w:spacing w:before="120" w:after="0" w:line="360" w:lineRule="auto"/>
        <w:rPr>
          <w:rFonts w:ascii="Arial" w:hAnsi="Arial" w:cs="Arial"/>
          <w:sz w:val="28"/>
          <w:szCs w:val="28"/>
        </w:rPr>
      </w:pPr>
    </w:p>
    <w:sectPr w:rsidR="00896F7F" w:rsidRPr="00896F7F" w:rsidSect="003F75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7F"/>
    <w:rsid w:val="000129C5"/>
    <w:rsid w:val="003F750B"/>
    <w:rsid w:val="00435380"/>
    <w:rsid w:val="00521F4E"/>
    <w:rsid w:val="00896F7F"/>
    <w:rsid w:val="00F81E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92E2B"/>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2730</Words>
  <Characters>15561</Characters>
  <Application>Microsoft Office Word</Application>
  <DocSecurity>0</DocSecurity>
  <Lines>129</Lines>
  <Paragraphs>36</Paragraphs>
  <ScaleCrop>false</ScaleCrop>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