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6A779" w14:textId="77777777" w:rsidR="00C022E3" w:rsidRPr="00C022E3" w:rsidRDefault="00C022E3" w:rsidP="00C06EB8">
      <w:pPr>
        <w:spacing w:before="120" w:after="0" w:line="360" w:lineRule="auto"/>
        <w:rPr>
          <w:rFonts w:ascii="Arial" w:eastAsia="Times New Roman" w:hAnsi="Arial" w:cs="Arial"/>
          <w:b/>
          <w:bCs/>
          <w:sz w:val="28"/>
          <w:szCs w:val="28"/>
          <w:lang w:val="en-GB"/>
        </w:rPr>
      </w:pPr>
      <w:r w:rsidRPr="00C022E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B2385C1" w14:textId="77777777" w:rsidR="00C022E3" w:rsidRPr="00C022E3" w:rsidRDefault="00C022E3" w:rsidP="00C06EB8">
      <w:pPr>
        <w:spacing w:before="120" w:after="0" w:line="360" w:lineRule="auto"/>
        <w:rPr>
          <w:rFonts w:ascii="Arial" w:eastAsia="Times New Roman" w:hAnsi="Arial" w:cs="Arial"/>
          <w:b/>
          <w:bCs/>
          <w:sz w:val="28"/>
          <w:szCs w:val="28"/>
          <w:lang w:val="en-GB"/>
        </w:rPr>
      </w:pPr>
      <w:r w:rsidRPr="00C022E3">
        <w:rPr>
          <w:rFonts w:ascii="Arial" w:eastAsia="Times New Roman" w:hAnsi="Arial" w:cs="Arial"/>
          <w:b/>
          <w:bCs/>
          <w:sz w:val="28"/>
          <w:szCs w:val="28"/>
          <w:lang w:val="en-GB"/>
        </w:rPr>
        <w:t>For any corrections, remarks, or suggestions, kindly contact us on translate@lloc.gov.bh</w:t>
      </w:r>
    </w:p>
    <w:p w14:paraId="0CCF0AD1" w14:textId="77777777" w:rsidR="00C022E3" w:rsidRPr="00C022E3" w:rsidRDefault="00C022E3" w:rsidP="00C06EB8">
      <w:pPr>
        <w:spacing w:before="120" w:after="0" w:line="360" w:lineRule="auto"/>
        <w:rPr>
          <w:rFonts w:ascii="Arial" w:eastAsia="Times New Roman" w:hAnsi="Arial" w:cs="Arial"/>
          <w:b/>
          <w:bCs/>
          <w:sz w:val="28"/>
          <w:szCs w:val="28"/>
          <w:lang w:val="en-GB"/>
        </w:rPr>
      </w:pPr>
      <w:r w:rsidRPr="00C022E3">
        <w:rPr>
          <w:rFonts w:ascii="Arial" w:eastAsia="Times New Roman" w:hAnsi="Arial" w:cs="Arial"/>
          <w:b/>
          <w:bCs/>
          <w:sz w:val="28"/>
          <w:szCs w:val="28"/>
          <w:lang w:val="en-GB"/>
        </w:rPr>
        <w:t>Published on the website on May 2024</w:t>
      </w:r>
      <w:r w:rsidRPr="00C022E3">
        <w:rPr>
          <w:rFonts w:ascii="Arial" w:eastAsia="Times New Roman" w:hAnsi="Arial" w:cs="Arial"/>
          <w:b/>
          <w:bCs/>
          <w:sz w:val="28"/>
          <w:szCs w:val="28"/>
          <w:lang w:val="en-GB"/>
        </w:rPr>
        <w:br w:type="page"/>
      </w:r>
    </w:p>
    <w:p w14:paraId="7DDEB543"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b/>
          <w:bCs/>
          <w:sz w:val="28"/>
          <w:szCs w:val="28"/>
          <w:lang w:val="en-GB"/>
        </w:rPr>
        <w:lastRenderedPageBreak/>
        <w:t>Legislative Decree No. (24) of 2021 amending Article (13) of Law No. (18) of 2017 regarding Penalties and Alternative Measures </w:t>
      </w:r>
    </w:p>
    <w:p w14:paraId="63DCB42A"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sz w:val="28"/>
          <w:szCs w:val="28"/>
          <w:lang w:val="en-GB"/>
        </w:rPr>
        <w:br w:type="page"/>
      </w:r>
    </w:p>
    <w:p w14:paraId="24F88D98"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sz w:val="28"/>
          <w:szCs w:val="28"/>
          <w:lang w:val="en-GB"/>
        </w:rPr>
        <w:t>We, Hamad bin Isa Al Khalifa, King of the Kingdom of Bahrain. </w:t>
      </w:r>
    </w:p>
    <w:p w14:paraId="6E5CCDFE"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sz w:val="28"/>
          <w:szCs w:val="28"/>
          <w:lang w:val="en-GB"/>
        </w:rPr>
        <w:t>Having reviewed the Constitution, in particular, Article (38) thereof; </w:t>
      </w:r>
    </w:p>
    <w:p w14:paraId="795777F0"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sz w:val="28"/>
          <w:szCs w:val="28"/>
          <w:lang w:val="en-GB"/>
        </w:rPr>
        <w:t>And Law No. (18) of 2017 regarding Penalties and Alternative Measures; </w:t>
      </w:r>
    </w:p>
    <w:p w14:paraId="2BA13D55"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sz w:val="28"/>
          <w:szCs w:val="28"/>
          <w:lang w:val="en-GB"/>
        </w:rPr>
        <w:t>And upon the submission of the Prime Minister, </w:t>
      </w:r>
    </w:p>
    <w:p w14:paraId="63BAA531"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sz w:val="28"/>
          <w:szCs w:val="28"/>
          <w:lang w:val="en-GB"/>
        </w:rPr>
        <w:t>And after the approval of the Council of Ministers, </w:t>
      </w:r>
    </w:p>
    <w:p w14:paraId="0A60354D"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b/>
          <w:bCs/>
          <w:sz w:val="28"/>
          <w:szCs w:val="28"/>
          <w:lang w:val="en-GB"/>
        </w:rPr>
        <w:t>Hereby Decree the following Law: </w:t>
      </w:r>
    </w:p>
    <w:p w14:paraId="27E97F0D"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b/>
          <w:bCs/>
          <w:sz w:val="28"/>
          <w:szCs w:val="28"/>
          <w:lang w:val="en-GB"/>
        </w:rPr>
        <w:t>Article One: </w:t>
      </w:r>
    </w:p>
    <w:p w14:paraId="43BBD26A"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sz w:val="28"/>
          <w:szCs w:val="28"/>
          <w:lang w:val="en-GB"/>
        </w:rPr>
        <w:t>The text of Article (13) of Law No. (18) of 2017 regarding Penalties and Alternative Measures shall be replaced with the following text: </w:t>
      </w:r>
    </w:p>
    <w:p w14:paraId="17840B4B"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sz w:val="28"/>
          <w:szCs w:val="28"/>
          <w:lang w:val="en-GB"/>
        </w:rPr>
        <w:t>“The relevant authority in the Ministry of Interior may request the Execution Judge to replace the original penalty imposed before starting its execution with one or more alternative penalties of those stipulated in Article (2) of this Law, provided that this does not pose danger to public security, and that the convicted person has performed the financial obligations to which he has been sentenced by the Criminal Court, unless it is impossible for him to fulfil such obligations. </w:t>
      </w:r>
    </w:p>
    <w:p w14:paraId="3FB20D78"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sz w:val="28"/>
          <w:szCs w:val="28"/>
          <w:lang w:val="en-GB"/>
        </w:rPr>
        <w:t>The relevant authority at the Ministry of Interior, after coordination with the Reform and Rehabilitation Institution, may request the Execution Judge to replace the original penalty imposed with one or more alternative penalties of those stipulated in Article (2) of this Law, for a period equal to the remaining period of the penalty or the total penalties imposed, provided that the convicted person fulfils the following conditions: </w:t>
      </w:r>
    </w:p>
    <w:p w14:paraId="2CBB8A8A"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sz w:val="28"/>
          <w:szCs w:val="28"/>
          <w:lang w:val="en-GB"/>
        </w:rPr>
        <w:t>1-   He shall be of good conduct and behaviour. </w:t>
      </w:r>
    </w:p>
    <w:p w14:paraId="31BE90B9"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sz w:val="28"/>
          <w:szCs w:val="28"/>
          <w:lang w:val="en-GB"/>
        </w:rPr>
        <w:t>2-   His release should not be a threat to public security. </w:t>
      </w:r>
    </w:p>
    <w:p w14:paraId="76C2D2B5"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sz w:val="28"/>
          <w:szCs w:val="28"/>
          <w:lang w:val="en-GB"/>
        </w:rPr>
        <w:t>3-   He must have performed the financial obligations imposed on him by the Criminal Court, unless it is impossible for him to fulfil such obligations. </w:t>
      </w:r>
    </w:p>
    <w:p w14:paraId="2B1A713A"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sz w:val="28"/>
          <w:szCs w:val="28"/>
          <w:lang w:val="en-GB"/>
        </w:rPr>
        <w:t>The Execution Judge shall decide on the request after hearing the statements of the Public Prosecution. </w:t>
      </w:r>
    </w:p>
    <w:p w14:paraId="30768122"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sz w:val="28"/>
          <w:szCs w:val="28"/>
          <w:lang w:val="en-GB"/>
        </w:rPr>
        <w:t>The provisions of Part Five of Book Five of the Criminal Procedures Law promulgated by Legislative Decree No. (46) of 2002 shall apply to the implementation of alternative penalties.” </w:t>
      </w:r>
    </w:p>
    <w:p w14:paraId="4D44BEA2"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b/>
          <w:bCs/>
          <w:sz w:val="28"/>
          <w:szCs w:val="28"/>
          <w:lang w:val="en-GB"/>
        </w:rPr>
        <w:t>Article Two </w:t>
      </w:r>
    </w:p>
    <w:p w14:paraId="6152190D"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2597FD83"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b/>
          <w:bCs/>
          <w:sz w:val="28"/>
          <w:szCs w:val="28"/>
          <w:lang w:val="en-GB"/>
        </w:rPr>
        <w:t>King of Kingdom of Bahrain </w:t>
      </w:r>
    </w:p>
    <w:p w14:paraId="52E552BF"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b/>
          <w:bCs/>
          <w:sz w:val="28"/>
          <w:szCs w:val="28"/>
          <w:lang w:val="en-GB"/>
        </w:rPr>
        <w:t>Hamad bin Isa Al Khalifa </w:t>
      </w:r>
    </w:p>
    <w:p w14:paraId="42A44027"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b/>
          <w:bCs/>
          <w:sz w:val="28"/>
          <w:szCs w:val="28"/>
          <w:lang w:val="en-GB"/>
        </w:rPr>
        <w:t>Prime Minister </w:t>
      </w:r>
    </w:p>
    <w:p w14:paraId="323DFF0C"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b/>
          <w:bCs/>
          <w:sz w:val="28"/>
          <w:szCs w:val="28"/>
          <w:lang w:val="en-GB"/>
        </w:rPr>
        <w:t>Salman bin Hamad Al Khalifa </w:t>
      </w:r>
    </w:p>
    <w:p w14:paraId="0F6E31E6"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sz w:val="28"/>
          <w:szCs w:val="28"/>
          <w:lang w:val="en-GB"/>
        </w:rPr>
        <w:t>Issued at Riffa Palace: </w:t>
      </w:r>
    </w:p>
    <w:p w14:paraId="117D036C"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sz w:val="28"/>
          <w:szCs w:val="28"/>
          <w:lang w:val="en-GB"/>
        </w:rPr>
        <w:t>On: 2 Safar 1443 A.H. </w:t>
      </w:r>
    </w:p>
    <w:p w14:paraId="03F908ED" w14:textId="77777777" w:rsidR="00C022E3" w:rsidRPr="00C022E3" w:rsidRDefault="00C022E3" w:rsidP="00C06EB8">
      <w:pPr>
        <w:spacing w:before="120" w:after="0" w:line="360" w:lineRule="auto"/>
        <w:rPr>
          <w:rFonts w:ascii="Arial" w:eastAsia="Times New Roman" w:hAnsi="Arial" w:cs="Arial"/>
          <w:sz w:val="28"/>
          <w:szCs w:val="28"/>
          <w:lang w:val="en-GB"/>
        </w:rPr>
      </w:pPr>
      <w:r w:rsidRPr="00C022E3">
        <w:rPr>
          <w:rFonts w:ascii="Arial" w:eastAsia="Times New Roman" w:hAnsi="Arial" w:cs="Arial"/>
          <w:sz w:val="28"/>
          <w:szCs w:val="28"/>
          <w:lang w:val="en-GB"/>
        </w:rPr>
        <w:t>Corresponding to: 9 September 2021 </w:t>
      </w:r>
    </w:p>
    <w:p w14:paraId="03D8128A" w14:textId="77777777" w:rsidR="00C022E3" w:rsidRPr="00C022E3" w:rsidRDefault="00C022E3" w:rsidP="00C06EB8">
      <w:pPr>
        <w:spacing w:before="120" w:after="0" w:line="360" w:lineRule="auto"/>
        <w:rPr>
          <w:rFonts w:ascii="Arial" w:eastAsia="Times New Roman" w:hAnsi="Arial" w:cs="Arial"/>
          <w:b/>
          <w:bCs/>
          <w:sz w:val="28"/>
          <w:szCs w:val="28"/>
        </w:rPr>
      </w:pPr>
    </w:p>
    <w:p w14:paraId="134BF294" w14:textId="77777777" w:rsidR="00C022E3" w:rsidRPr="00C022E3" w:rsidRDefault="00C022E3" w:rsidP="00C06EB8">
      <w:pPr>
        <w:spacing w:before="120" w:after="0" w:line="360" w:lineRule="auto"/>
        <w:rPr>
          <w:rFonts w:ascii="Arial" w:hAnsi="Arial" w:cs="Arial"/>
          <w:sz w:val="28"/>
          <w:szCs w:val="28"/>
        </w:rPr>
      </w:pPr>
    </w:p>
    <w:sectPr w:rsidR="00C022E3" w:rsidRPr="00C022E3" w:rsidSect="00B82A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E3"/>
    <w:rsid w:val="000129C5"/>
    <w:rsid w:val="00435380"/>
    <w:rsid w:val="00521F4E"/>
    <w:rsid w:val="00B82A4D"/>
    <w:rsid w:val="00C022E3"/>
    <w:rsid w:val="00C06E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8BB06"/>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2024-05-14T09:33:00Z</dcterms:created>
  <dcterms:modified xsi:type="dcterms:W3CDTF">2024-05-15T18:21:00Z</dcterms:modified>
</cp:coreProperties>
</file>