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1E6A3" w14:textId="77777777" w:rsidR="000923EB" w:rsidRPr="000923EB" w:rsidRDefault="000923EB" w:rsidP="005A0F95">
      <w:pPr>
        <w:spacing w:before="120" w:after="0" w:line="360" w:lineRule="auto"/>
        <w:rPr>
          <w:rFonts w:ascii="Arial" w:eastAsia="Times New Roman" w:hAnsi="Arial" w:cs="Arial"/>
          <w:b/>
          <w:bCs/>
          <w:sz w:val="28"/>
          <w:szCs w:val="28"/>
          <w:lang w:val="en-GB"/>
        </w:rPr>
      </w:pPr>
      <w:r w:rsidRPr="000923E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079D894" w14:textId="77777777" w:rsidR="000923EB" w:rsidRPr="000923EB" w:rsidRDefault="000923EB" w:rsidP="005A0F95">
      <w:pPr>
        <w:spacing w:before="120" w:after="0" w:line="360" w:lineRule="auto"/>
        <w:rPr>
          <w:rFonts w:ascii="Arial" w:eastAsia="Times New Roman" w:hAnsi="Arial" w:cs="Arial"/>
          <w:b/>
          <w:bCs/>
          <w:sz w:val="28"/>
          <w:szCs w:val="28"/>
          <w:lang w:val="en-GB"/>
        </w:rPr>
      </w:pPr>
      <w:r w:rsidRPr="000923EB">
        <w:rPr>
          <w:rFonts w:ascii="Arial" w:eastAsia="Times New Roman" w:hAnsi="Arial" w:cs="Arial"/>
          <w:b/>
          <w:bCs/>
          <w:sz w:val="28"/>
          <w:szCs w:val="28"/>
          <w:lang w:val="en-GB"/>
        </w:rPr>
        <w:t>For any corrections, remarks, or suggestions, kindly contact us on translate@lloc.gov.bh</w:t>
      </w:r>
    </w:p>
    <w:p w14:paraId="4D7665AE" w14:textId="77777777" w:rsidR="000923EB" w:rsidRPr="000923EB" w:rsidRDefault="000923EB" w:rsidP="005A0F95">
      <w:pPr>
        <w:spacing w:before="120" w:after="0" w:line="360" w:lineRule="auto"/>
        <w:rPr>
          <w:rFonts w:ascii="Arial" w:eastAsia="Times New Roman" w:hAnsi="Arial" w:cs="Arial"/>
          <w:b/>
          <w:bCs/>
          <w:sz w:val="28"/>
          <w:szCs w:val="28"/>
          <w:lang w:val="en-GB"/>
        </w:rPr>
      </w:pPr>
      <w:r w:rsidRPr="000923EB">
        <w:rPr>
          <w:rFonts w:ascii="Arial" w:eastAsia="Times New Roman" w:hAnsi="Arial" w:cs="Arial"/>
          <w:b/>
          <w:bCs/>
          <w:sz w:val="28"/>
          <w:szCs w:val="28"/>
          <w:lang w:val="en-GB"/>
        </w:rPr>
        <w:t>Published on the website on May 2024</w:t>
      </w:r>
      <w:r w:rsidRPr="000923EB">
        <w:rPr>
          <w:rFonts w:ascii="Arial" w:eastAsia="Times New Roman" w:hAnsi="Arial" w:cs="Arial"/>
          <w:b/>
          <w:bCs/>
          <w:sz w:val="28"/>
          <w:szCs w:val="28"/>
          <w:lang w:val="en-GB"/>
        </w:rPr>
        <w:br w:type="page"/>
      </w:r>
    </w:p>
    <w:p w14:paraId="52279BBA"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lastRenderedPageBreak/>
        <w:t>Legislative Decree No. (24) of 2015 amending Certain Provisions of Judicial Authority Law promulgated by Legislative Decree No. (42) of 2002 </w:t>
      </w:r>
    </w:p>
    <w:p w14:paraId="548E0E67"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br w:type="page"/>
      </w:r>
    </w:p>
    <w:p w14:paraId="68CB6B78"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We, Hamad bin Isa Al Khalifa, King of the Kingdom of Bahrain. </w:t>
      </w:r>
    </w:p>
    <w:p w14:paraId="5EE6C391"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Having reviewed the Constitution; </w:t>
      </w:r>
    </w:p>
    <w:p w14:paraId="55E97DDF"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Having reviewed the Procedures Before Sharia Courts Law promulgated by Legislative Decree No. (26) of 1986, as amended; </w:t>
      </w:r>
    </w:p>
    <w:p w14:paraId="798EB8F0"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Cassation Court Law promulgated by Legislative Decree No. (8) of 1989, as amended; </w:t>
      </w:r>
    </w:p>
    <w:p w14:paraId="7359C2B9"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Judicial Authority Law promulgated by Legislative Decree No. (42) of 2002 as amended; </w:t>
      </w:r>
    </w:p>
    <w:p w14:paraId="55903701"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After consulting the Supreme Judicial Council; </w:t>
      </w:r>
    </w:p>
    <w:p w14:paraId="189B0EB0"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And upon the submission of the Prime Minister; </w:t>
      </w:r>
    </w:p>
    <w:p w14:paraId="0F8F29F1"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And after the approval of the Council of Ministers, </w:t>
      </w:r>
    </w:p>
    <w:p w14:paraId="0248B847"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Hereby Decree the following Law: </w:t>
      </w:r>
    </w:p>
    <w:p w14:paraId="3AD23856"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Article One </w:t>
      </w:r>
    </w:p>
    <w:p w14:paraId="2DC80C18"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The text of the first paragraph of Article (13) of the Judicial Authority Law promulgated by Legislative Decree No.(42) of 2002 shall be replaced with the following text: </w:t>
      </w:r>
    </w:p>
    <w:p w14:paraId="6E84BED2"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Article (13) first paragraph: </w:t>
      </w:r>
    </w:p>
    <w:p w14:paraId="759970C7"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“The Shari’ah Courts shall consist of: </w:t>
      </w:r>
    </w:p>
    <w:p w14:paraId="1A88711D"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1)</w:t>
      </w:r>
      <w:r w:rsidRPr="000923EB">
        <w:rPr>
          <w:rFonts w:ascii="Arial" w:eastAsia="Times New Roman" w:hAnsi="Arial" w:cs="Arial"/>
          <w:sz w:val="28"/>
          <w:szCs w:val="28"/>
          <w:lang w:val="en-GB"/>
        </w:rPr>
        <w:t> Court of Cassation. </w:t>
      </w:r>
    </w:p>
    <w:p w14:paraId="7F6831E2"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2)</w:t>
      </w:r>
      <w:r w:rsidRPr="000923EB">
        <w:rPr>
          <w:rFonts w:ascii="Arial" w:eastAsia="Times New Roman" w:hAnsi="Arial" w:cs="Arial"/>
          <w:sz w:val="28"/>
          <w:szCs w:val="28"/>
          <w:lang w:val="en-GB"/>
        </w:rPr>
        <w:t> The Supreme Sharia Court of Appeal. </w:t>
      </w:r>
    </w:p>
    <w:p w14:paraId="5B4EAED3"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3) </w:t>
      </w:r>
      <w:r w:rsidRPr="000923EB">
        <w:rPr>
          <w:rFonts w:ascii="Arial" w:eastAsia="Times New Roman" w:hAnsi="Arial" w:cs="Arial"/>
          <w:sz w:val="28"/>
          <w:szCs w:val="28"/>
          <w:lang w:val="en-GB"/>
        </w:rPr>
        <w:t>The Higher Sharia Court </w:t>
      </w:r>
    </w:p>
    <w:p w14:paraId="7495BB14"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4) </w:t>
      </w:r>
      <w:r w:rsidRPr="000923EB">
        <w:rPr>
          <w:rFonts w:ascii="Arial" w:eastAsia="Times New Roman" w:hAnsi="Arial" w:cs="Arial"/>
          <w:sz w:val="28"/>
          <w:szCs w:val="28"/>
          <w:lang w:val="en-GB"/>
        </w:rPr>
        <w:t>The Lower Sharia Court </w:t>
      </w:r>
    </w:p>
    <w:p w14:paraId="2F36D3B8"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Each court consists of two chambers: </w:t>
      </w:r>
    </w:p>
    <w:p w14:paraId="65651195"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a) The Sunni Sharia Circuit. </w:t>
      </w:r>
    </w:p>
    <w:p w14:paraId="716075DD"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b) The Jaafari Sharia Circuit. </w:t>
      </w:r>
    </w:p>
    <w:p w14:paraId="1C969F57"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Article Two </w:t>
      </w:r>
    </w:p>
    <w:p w14:paraId="596B906A"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0E901B1C"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King of the Kingdom of Bahrain </w:t>
      </w:r>
    </w:p>
    <w:p w14:paraId="496CCA87"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Hamad bin Isa Al Khalifa, </w:t>
      </w:r>
    </w:p>
    <w:p w14:paraId="6DA27036"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Prime Minister </w:t>
      </w:r>
    </w:p>
    <w:p w14:paraId="0BB7B949"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b/>
          <w:bCs/>
          <w:sz w:val="28"/>
          <w:szCs w:val="28"/>
          <w:lang w:val="en-GB"/>
        </w:rPr>
        <w:t>Khalifa bin Salman Al Khalifa </w:t>
      </w:r>
    </w:p>
    <w:p w14:paraId="224BEE21"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Issued at Riffa Palace: </w:t>
      </w:r>
    </w:p>
    <w:p w14:paraId="55FB1BD6"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On: 6 Dhu al-Hijjah 1436 A.H. </w:t>
      </w:r>
    </w:p>
    <w:p w14:paraId="1D67D542" w14:textId="77777777" w:rsidR="000923EB" w:rsidRPr="000923EB" w:rsidRDefault="000923EB" w:rsidP="005A0F95">
      <w:pPr>
        <w:spacing w:before="120" w:after="0" w:line="360" w:lineRule="auto"/>
        <w:rPr>
          <w:rFonts w:ascii="Arial" w:eastAsia="Times New Roman" w:hAnsi="Arial" w:cs="Arial"/>
          <w:sz w:val="28"/>
          <w:szCs w:val="28"/>
          <w:lang w:val="en-GB"/>
        </w:rPr>
      </w:pPr>
      <w:r w:rsidRPr="000923EB">
        <w:rPr>
          <w:rFonts w:ascii="Arial" w:eastAsia="Times New Roman" w:hAnsi="Arial" w:cs="Arial"/>
          <w:sz w:val="28"/>
          <w:szCs w:val="28"/>
          <w:lang w:val="en-GB"/>
        </w:rPr>
        <w:t>Corresponding to: 20 September 2015 </w:t>
      </w:r>
    </w:p>
    <w:p w14:paraId="336D09C3" w14:textId="77777777" w:rsidR="000923EB" w:rsidRPr="000923EB" w:rsidRDefault="000923EB" w:rsidP="005A0F95">
      <w:pPr>
        <w:spacing w:before="120" w:after="0" w:line="360" w:lineRule="auto"/>
        <w:rPr>
          <w:rFonts w:ascii="Arial" w:hAnsi="Arial" w:cs="Arial"/>
          <w:sz w:val="28"/>
          <w:szCs w:val="28"/>
        </w:rPr>
      </w:pPr>
    </w:p>
    <w:sectPr w:rsidR="000923EB" w:rsidRPr="000923EB" w:rsidSect="00E70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EB"/>
    <w:rsid w:val="000129C5"/>
    <w:rsid w:val="000923EB"/>
    <w:rsid w:val="00435380"/>
    <w:rsid w:val="00521F4E"/>
    <w:rsid w:val="005A0F95"/>
    <w:rsid w:val="00E701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1FEE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