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2E34A" w14:textId="77777777" w:rsidR="00D17D3C" w:rsidRPr="00D17D3C" w:rsidRDefault="00D17D3C" w:rsidP="006B383B">
      <w:pPr>
        <w:spacing w:before="120" w:after="0" w:line="360" w:lineRule="auto"/>
        <w:rPr>
          <w:rFonts w:ascii="Arial" w:eastAsia="Times New Roman" w:hAnsi="Arial" w:cs="Arial"/>
          <w:b/>
          <w:bCs/>
          <w:sz w:val="28"/>
          <w:szCs w:val="28"/>
          <w:lang w:val="en-GB"/>
        </w:rPr>
      </w:pPr>
      <w:r w:rsidRPr="00D17D3C">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3A364541" w14:textId="77777777" w:rsidR="00D17D3C" w:rsidRPr="00D17D3C" w:rsidRDefault="00D17D3C" w:rsidP="006B383B">
      <w:pPr>
        <w:spacing w:before="120" w:after="0" w:line="360" w:lineRule="auto"/>
        <w:rPr>
          <w:rFonts w:ascii="Arial" w:eastAsia="Times New Roman" w:hAnsi="Arial" w:cs="Arial"/>
          <w:b/>
          <w:bCs/>
          <w:sz w:val="28"/>
          <w:szCs w:val="28"/>
          <w:lang w:val="en-GB"/>
        </w:rPr>
      </w:pPr>
      <w:r w:rsidRPr="00D17D3C">
        <w:rPr>
          <w:rFonts w:ascii="Arial" w:eastAsia="Times New Roman" w:hAnsi="Arial" w:cs="Arial"/>
          <w:b/>
          <w:bCs/>
          <w:sz w:val="28"/>
          <w:szCs w:val="28"/>
          <w:lang w:val="en-GB"/>
        </w:rPr>
        <w:t>For any corrections, remarks, or suggestions, kindly contact us on translate@lloc.gov.bh</w:t>
      </w:r>
    </w:p>
    <w:p w14:paraId="4F0BB15E" w14:textId="77777777" w:rsidR="00D17D3C" w:rsidRPr="00D17D3C" w:rsidRDefault="00D17D3C" w:rsidP="006B383B">
      <w:pPr>
        <w:spacing w:before="120" w:after="0" w:line="360" w:lineRule="auto"/>
        <w:rPr>
          <w:rFonts w:ascii="Arial" w:eastAsia="Times New Roman" w:hAnsi="Arial" w:cs="Arial"/>
          <w:b/>
          <w:bCs/>
          <w:sz w:val="28"/>
          <w:szCs w:val="28"/>
          <w:lang w:val="en-GB"/>
        </w:rPr>
      </w:pPr>
      <w:r w:rsidRPr="00D17D3C">
        <w:rPr>
          <w:rFonts w:ascii="Arial" w:eastAsia="Times New Roman" w:hAnsi="Arial" w:cs="Arial"/>
          <w:b/>
          <w:bCs/>
          <w:sz w:val="28"/>
          <w:szCs w:val="28"/>
          <w:lang w:val="en-GB"/>
        </w:rPr>
        <w:t>Published on the website on May 2024</w:t>
      </w:r>
      <w:r w:rsidRPr="00D17D3C">
        <w:rPr>
          <w:rFonts w:ascii="Arial" w:eastAsia="Times New Roman" w:hAnsi="Arial" w:cs="Arial"/>
          <w:b/>
          <w:bCs/>
          <w:sz w:val="28"/>
          <w:szCs w:val="28"/>
          <w:lang w:val="en-GB"/>
        </w:rPr>
        <w:br w:type="page"/>
      </w:r>
    </w:p>
    <w:p w14:paraId="0EA04C6D" w14:textId="77777777" w:rsidR="00D17D3C" w:rsidRPr="00D17D3C" w:rsidRDefault="00D17D3C" w:rsidP="006B383B">
      <w:pPr>
        <w:spacing w:before="120" w:after="0" w:line="360" w:lineRule="auto"/>
        <w:rPr>
          <w:rFonts w:ascii="Arial" w:eastAsia="Times New Roman" w:hAnsi="Arial" w:cs="Arial"/>
          <w:sz w:val="28"/>
          <w:szCs w:val="28"/>
          <w:lang w:val="en-GB"/>
        </w:rPr>
      </w:pPr>
      <w:r w:rsidRPr="00D17D3C">
        <w:rPr>
          <w:rFonts w:ascii="Arial" w:eastAsia="Times New Roman" w:hAnsi="Arial" w:cs="Arial"/>
          <w:b/>
          <w:bCs/>
          <w:sz w:val="28"/>
          <w:szCs w:val="28"/>
          <w:lang w:val="en-GB"/>
        </w:rPr>
        <w:lastRenderedPageBreak/>
        <w:t>Legislative Decree No. (20) of 2013 amending some Provisions of Law No. (58) of 2006 regarding Protection of Society from Terrorist Acts </w:t>
      </w:r>
    </w:p>
    <w:p w14:paraId="36A0ACF1" w14:textId="77777777" w:rsidR="00D17D3C" w:rsidRPr="00D17D3C" w:rsidRDefault="00D17D3C" w:rsidP="006B383B">
      <w:pPr>
        <w:spacing w:before="120" w:after="0" w:line="360" w:lineRule="auto"/>
        <w:rPr>
          <w:rFonts w:ascii="Arial" w:eastAsia="Times New Roman" w:hAnsi="Arial" w:cs="Arial"/>
          <w:sz w:val="28"/>
          <w:szCs w:val="28"/>
          <w:lang w:val="en-GB"/>
        </w:rPr>
      </w:pPr>
      <w:r w:rsidRPr="00D17D3C">
        <w:rPr>
          <w:rFonts w:ascii="Arial" w:eastAsia="Times New Roman" w:hAnsi="Arial" w:cs="Arial"/>
          <w:sz w:val="28"/>
          <w:szCs w:val="28"/>
          <w:lang w:val="en-GB"/>
        </w:rPr>
        <w:br w:type="page"/>
      </w:r>
    </w:p>
    <w:p w14:paraId="4D176DFF" w14:textId="77777777" w:rsidR="00D17D3C" w:rsidRPr="00D17D3C" w:rsidRDefault="00D17D3C" w:rsidP="006B383B">
      <w:pPr>
        <w:spacing w:before="120" w:after="0" w:line="360" w:lineRule="auto"/>
        <w:rPr>
          <w:rFonts w:ascii="Arial" w:eastAsia="Times New Roman" w:hAnsi="Arial" w:cs="Arial"/>
          <w:sz w:val="28"/>
          <w:szCs w:val="28"/>
          <w:lang w:val="en-GB"/>
        </w:rPr>
      </w:pPr>
      <w:r w:rsidRPr="00D17D3C">
        <w:rPr>
          <w:rFonts w:ascii="Arial" w:eastAsia="Times New Roman" w:hAnsi="Arial" w:cs="Arial"/>
          <w:sz w:val="28"/>
          <w:szCs w:val="28"/>
          <w:lang w:val="en-GB"/>
        </w:rPr>
        <w:t>We, Hamad bin Isa Al Khalifa, King of the Kingdom of Bahrain. </w:t>
      </w:r>
    </w:p>
    <w:p w14:paraId="16E39E50" w14:textId="77777777" w:rsidR="00D17D3C" w:rsidRPr="00D17D3C" w:rsidRDefault="00D17D3C" w:rsidP="006B383B">
      <w:pPr>
        <w:spacing w:before="120" w:after="0" w:line="360" w:lineRule="auto"/>
        <w:rPr>
          <w:rFonts w:ascii="Arial" w:eastAsia="Times New Roman" w:hAnsi="Arial" w:cs="Arial"/>
          <w:sz w:val="28"/>
          <w:szCs w:val="28"/>
          <w:lang w:val="en-GB"/>
        </w:rPr>
      </w:pPr>
      <w:r w:rsidRPr="00D17D3C">
        <w:rPr>
          <w:rFonts w:ascii="Arial" w:eastAsia="Times New Roman" w:hAnsi="Arial" w:cs="Arial"/>
          <w:sz w:val="28"/>
          <w:szCs w:val="28"/>
          <w:lang w:val="en-GB"/>
        </w:rPr>
        <w:t>Having reviewed the Constitution; </w:t>
      </w:r>
    </w:p>
    <w:p w14:paraId="353D3243" w14:textId="77777777" w:rsidR="00D17D3C" w:rsidRPr="00D17D3C" w:rsidRDefault="00D17D3C" w:rsidP="006B383B">
      <w:pPr>
        <w:spacing w:before="120" w:after="0" w:line="360" w:lineRule="auto"/>
        <w:rPr>
          <w:rFonts w:ascii="Arial" w:eastAsia="Times New Roman" w:hAnsi="Arial" w:cs="Arial"/>
          <w:sz w:val="28"/>
          <w:szCs w:val="28"/>
          <w:lang w:val="en-GB"/>
        </w:rPr>
      </w:pPr>
      <w:r w:rsidRPr="00D17D3C">
        <w:rPr>
          <w:rFonts w:ascii="Arial" w:eastAsia="Times New Roman" w:hAnsi="Arial" w:cs="Arial"/>
          <w:sz w:val="28"/>
          <w:szCs w:val="28"/>
          <w:lang w:val="en-GB"/>
        </w:rPr>
        <w:t>Bahraini Nationality Law of 1963, as amended, </w:t>
      </w:r>
    </w:p>
    <w:p w14:paraId="07BE0DF5" w14:textId="77777777" w:rsidR="00D17D3C" w:rsidRPr="00D17D3C" w:rsidRDefault="00D17D3C" w:rsidP="006B383B">
      <w:pPr>
        <w:spacing w:before="120" w:after="0" w:line="360" w:lineRule="auto"/>
        <w:rPr>
          <w:rFonts w:ascii="Arial" w:eastAsia="Times New Roman" w:hAnsi="Arial" w:cs="Arial"/>
          <w:sz w:val="28"/>
          <w:szCs w:val="28"/>
          <w:lang w:val="en-GB"/>
        </w:rPr>
      </w:pPr>
      <w:r w:rsidRPr="00D17D3C">
        <w:rPr>
          <w:rFonts w:ascii="Arial" w:eastAsia="Times New Roman" w:hAnsi="Arial" w:cs="Arial"/>
          <w:sz w:val="28"/>
          <w:szCs w:val="28"/>
          <w:lang w:val="en-GB"/>
        </w:rPr>
        <w:t>Penal Law promulgated by Legislative Decree No. (15) of 1976, as amended; </w:t>
      </w:r>
    </w:p>
    <w:p w14:paraId="212A2CC6" w14:textId="77777777" w:rsidR="00D17D3C" w:rsidRPr="00D17D3C" w:rsidRDefault="00D17D3C" w:rsidP="006B383B">
      <w:pPr>
        <w:spacing w:before="120" w:after="0" w:line="360" w:lineRule="auto"/>
        <w:rPr>
          <w:rFonts w:ascii="Arial" w:eastAsia="Times New Roman" w:hAnsi="Arial" w:cs="Arial"/>
          <w:sz w:val="28"/>
          <w:szCs w:val="28"/>
          <w:lang w:val="en-GB"/>
        </w:rPr>
      </w:pPr>
      <w:r w:rsidRPr="00D17D3C">
        <w:rPr>
          <w:rFonts w:ascii="Arial" w:eastAsia="Times New Roman" w:hAnsi="Arial" w:cs="Arial"/>
          <w:sz w:val="28"/>
          <w:szCs w:val="28"/>
          <w:lang w:val="en-GB"/>
        </w:rPr>
        <w:t>Law No. (58) of 2006 regarding Protection of the Society from the Acts of Terrorism; </w:t>
      </w:r>
    </w:p>
    <w:p w14:paraId="6A046751" w14:textId="77777777" w:rsidR="00D17D3C" w:rsidRPr="00D17D3C" w:rsidRDefault="00D17D3C" w:rsidP="006B383B">
      <w:pPr>
        <w:spacing w:before="120" w:after="0" w:line="360" w:lineRule="auto"/>
        <w:rPr>
          <w:rFonts w:ascii="Arial" w:eastAsia="Times New Roman" w:hAnsi="Arial" w:cs="Arial"/>
          <w:sz w:val="28"/>
          <w:szCs w:val="28"/>
          <w:lang w:val="en-GB"/>
        </w:rPr>
      </w:pPr>
      <w:r w:rsidRPr="00D17D3C">
        <w:rPr>
          <w:rFonts w:ascii="Arial" w:eastAsia="Times New Roman" w:hAnsi="Arial" w:cs="Arial"/>
          <w:sz w:val="28"/>
          <w:szCs w:val="28"/>
          <w:lang w:val="en-GB"/>
        </w:rPr>
        <w:t>And upon the submission of the Prime Minister, </w:t>
      </w:r>
    </w:p>
    <w:p w14:paraId="45FC81E4" w14:textId="77777777" w:rsidR="00D17D3C" w:rsidRPr="00D17D3C" w:rsidRDefault="00D17D3C" w:rsidP="006B383B">
      <w:pPr>
        <w:spacing w:before="120" w:after="0" w:line="360" w:lineRule="auto"/>
        <w:rPr>
          <w:rFonts w:ascii="Arial" w:eastAsia="Times New Roman" w:hAnsi="Arial" w:cs="Arial"/>
          <w:sz w:val="28"/>
          <w:szCs w:val="28"/>
          <w:lang w:val="en-GB"/>
        </w:rPr>
      </w:pPr>
      <w:r w:rsidRPr="00D17D3C">
        <w:rPr>
          <w:rFonts w:ascii="Arial" w:eastAsia="Times New Roman" w:hAnsi="Arial" w:cs="Arial"/>
          <w:sz w:val="28"/>
          <w:szCs w:val="28"/>
          <w:lang w:val="en-GB"/>
        </w:rPr>
        <w:t>And after the approval of the Council of Ministers; </w:t>
      </w:r>
    </w:p>
    <w:p w14:paraId="030FDE26" w14:textId="77777777" w:rsidR="00D17D3C" w:rsidRPr="00D17D3C" w:rsidRDefault="00D17D3C" w:rsidP="006B383B">
      <w:pPr>
        <w:spacing w:before="120" w:after="0" w:line="360" w:lineRule="auto"/>
        <w:rPr>
          <w:rFonts w:ascii="Arial" w:eastAsia="Times New Roman" w:hAnsi="Arial" w:cs="Arial"/>
          <w:sz w:val="28"/>
          <w:szCs w:val="28"/>
          <w:lang w:val="en-GB"/>
        </w:rPr>
      </w:pPr>
      <w:r w:rsidRPr="00D17D3C">
        <w:rPr>
          <w:rFonts w:ascii="Arial" w:eastAsia="Times New Roman" w:hAnsi="Arial" w:cs="Arial"/>
          <w:b/>
          <w:bCs/>
          <w:sz w:val="28"/>
          <w:szCs w:val="28"/>
          <w:lang w:val="en-GB"/>
        </w:rPr>
        <w:t>Hereby Decree the following Law: </w:t>
      </w:r>
    </w:p>
    <w:p w14:paraId="12CA14E0" w14:textId="77777777" w:rsidR="00D17D3C" w:rsidRPr="00D17D3C" w:rsidRDefault="00D17D3C" w:rsidP="006B383B">
      <w:pPr>
        <w:spacing w:before="120" w:after="0" w:line="360" w:lineRule="auto"/>
        <w:rPr>
          <w:rFonts w:ascii="Arial" w:eastAsia="Times New Roman" w:hAnsi="Arial" w:cs="Arial"/>
          <w:sz w:val="28"/>
          <w:szCs w:val="28"/>
          <w:lang w:val="en-GB"/>
        </w:rPr>
      </w:pPr>
      <w:r w:rsidRPr="00D17D3C">
        <w:rPr>
          <w:rFonts w:ascii="Arial" w:eastAsia="Times New Roman" w:hAnsi="Arial" w:cs="Arial"/>
          <w:b/>
          <w:bCs/>
          <w:sz w:val="28"/>
          <w:szCs w:val="28"/>
          <w:lang w:val="en-GB"/>
        </w:rPr>
        <w:t>Article One </w:t>
      </w:r>
    </w:p>
    <w:p w14:paraId="6D8F8A46" w14:textId="77777777" w:rsidR="00D17D3C" w:rsidRPr="00D17D3C" w:rsidRDefault="00D17D3C" w:rsidP="006B383B">
      <w:pPr>
        <w:spacing w:before="120" w:after="0" w:line="360" w:lineRule="auto"/>
        <w:rPr>
          <w:rFonts w:ascii="Arial" w:eastAsia="Times New Roman" w:hAnsi="Arial" w:cs="Arial"/>
          <w:sz w:val="28"/>
          <w:szCs w:val="28"/>
          <w:lang w:val="en-GB"/>
        </w:rPr>
      </w:pPr>
      <w:r w:rsidRPr="00D17D3C">
        <w:rPr>
          <w:rFonts w:ascii="Arial" w:eastAsia="Times New Roman" w:hAnsi="Arial" w:cs="Arial"/>
          <w:sz w:val="28"/>
          <w:szCs w:val="28"/>
          <w:lang w:val="en-GB"/>
        </w:rPr>
        <w:t>The texts of Articles (10), (17) and (30) of Law No. (58) of 2006 regarding Protection of Society from Terrorist Acts shall be replaced by the following texts: </w:t>
      </w:r>
    </w:p>
    <w:p w14:paraId="36B8996A" w14:textId="77777777" w:rsidR="00D17D3C" w:rsidRPr="00D17D3C" w:rsidRDefault="00D17D3C" w:rsidP="006B383B">
      <w:pPr>
        <w:spacing w:before="120" w:after="0" w:line="360" w:lineRule="auto"/>
        <w:rPr>
          <w:rFonts w:ascii="Arial" w:eastAsia="Times New Roman" w:hAnsi="Arial" w:cs="Arial"/>
          <w:sz w:val="28"/>
          <w:szCs w:val="28"/>
          <w:lang w:val="en-GB"/>
        </w:rPr>
      </w:pPr>
      <w:r w:rsidRPr="00D17D3C">
        <w:rPr>
          <w:rFonts w:ascii="Arial" w:eastAsia="Times New Roman" w:hAnsi="Arial" w:cs="Arial"/>
          <w:b/>
          <w:bCs/>
          <w:sz w:val="28"/>
          <w:szCs w:val="28"/>
          <w:lang w:val="en-GB"/>
        </w:rPr>
        <w:t>Article (10): </w:t>
      </w:r>
    </w:p>
    <w:p w14:paraId="62E24641" w14:textId="77777777" w:rsidR="00D17D3C" w:rsidRPr="00D17D3C" w:rsidRDefault="00D17D3C" w:rsidP="006B383B">
      <w:pPr>
        <w:spacing w:before="120" w:after="0" w:line="360" w:lineRule="auto"/>
        <w:rPr>
          <w:rFonts w:ascii="Arial" w:eastAsia="Times New Roman" w:hAnsi="Arial" w:cs="Arial"/>
          <w:sz w:val="28"/>
          <w:szCs w:val="28"/>
          <w:lang w:val="en-GB"/>
        </w:rPr>
      </w:pPr>
      <w:r w:rsidRPr="00D17D3C">
        <w:rPr>
          <w:rFonts w:ascii="Arial" w:eastAsia="Times New Roman" w:hAnsi="Arial" w:cs="Arial"/>
          <w:sz w:val="28"/>
          <w:szCs w:val="28"/>
          <w:lang w:val="en-GB"/>
        </w:rPr>
        <w:t>Whoever causes or attempts to cause an explosion or attempts to do so with the intention of carrying out a terrorist purpose, no matter the type or form of such explosion, shall be punished by imprisonment for a term of no less than ten years. </w:t>
      </w:r>
    </w:p>
    <w:p w14:paraId="1DAE2826" w14:textId="77777777" w:rsidR="00D17D3C" w:rsidRPr="00D17D3C" w:rsidRDefault="00D17D3C" w:rsidP="006B383B">
      <w:pPr>
        <w:spacing w:before="120" w:after="0" w:line="360" w:lineRule="auto"/>
        <w:rPr>
          <w:rFonts w:ascii="Arial" w:eastAsia="Times New Roman" w:hAnsi="Arial" w:cs="Arial"/>
          <w:sz w:val="28"/>
          <w:szCs w:val="28"/>
          <w:lang w:val="en-GB"/>
        </w:rPr>
      </w:pPr>
      <w:r w:rsidRPr="00D17D3C">
        <w:rPr>
          <w:rFonts w:ascii="Arial" w:eastAsia="Times New Roman" w:hAnsi="Arial" w:cs="Arial"/>
          <w:sz w:val="28"/>
          <w:szCs w:val="28"/>
          <w:lang w:val="en-GB"/>
        </w:rPr>
        <w:t>Death penalty or life imprisonment shall be the penalty inflicted if the explosion results in the death or injury of a person. </w:t>
      </w:r>
    </w:p>
    <w:p w14:paraId="3D46E8EF" w14:textId="77777777" w:rsidR="00D17D3C" w:rsidRPr="00D17D3C" w:rsidRDefault="00D17D3C" w:rsidP="006B383B">
      <w:pPr>
        <w:spacing w:before="120" w:after="0" w:line="360" w:lineRule="auto"/>
        <w:rPr>
          <w:rFonts w:ascii="Arial" w:eastAsia="Times New Roman" w:hAnsi="Arial" w:cs="Arial"/>
          <w:sz w:val="28"/>
          <w:szCs w:val="28"/>
          <w:lang w:val="en-GB"/>
        </w:rPr>
      </w:pPr>
      <w:r w:rsidRPr="00D17D3C">
        <w:rPr>
          <w:rFonts w:ascii="Arial" w:eastAsia="Times New Roman" w:hAnsi="Arial" w:cs="Arial"/>
          <w:sz w:val="28"/>
          <w:szCs w:val="28"/>
          <w:lang w:val="en-GB"/>
        </w:rPr>
        <w:t>Anyone who places or carries in public or private places for the same purpose mock models or structures simulating the forms of explosives or firecrackers or may be thought to be explosives, shall be punished by imprisonment. </w:t>
      </w:r>
    </w:p>
    <w:p w14:paraId="6462FC54" w14:textId="77777777" w:rsidR="00D17D3C" w:rsidRPr="00D17D3C" w:rsidRDefault="00D17D3C" w:rsidP="006B383B">
      <w:pPr>
        <w:spacing w:before="120" w:after="0" w:line="360" w:lineRule="auto"/>
        <w:rPr>
          <w:rFonts w:ascii="Arial" w:eastAsia="Times New Roman" w:hAnsi="Arial" w:cs="Arial"/>
          <w:sz w:val="28"/>
          <w:szCs w:val="28"/>
          <w:lang w:val="en-GB"/>
        </w:rPr>
      </w:pPr>
      <w:r w:rsidRPr="00D17D3C">
        <w:rPr>
          <w:rFonts w:ascii="Arial" w:eastAsia="Times New Roman" w:hAnsi="Arial" w:cs="Arial"/>
          <w:b/>
          <w:bCs/>
          <w:sz w:val="28"/>
          <w:szCs w:val="28"/>
          <w:lang w:val="en-GB"/>
        </w:rPr>
        <w:t>Article (17): </w:t>
      </w:r>
    </w:p>
    <w:p w14:paraId="447704BF" w14:textId="77777777" w:rsidR="00D17D3C" w:rsidRPr="00D17D3C" w:rsidRDefault="00D17D3C" w:rsidP="006B383B">
      <w:pPr>
        <w:spacing w:before="120" w:after="0" w:line="360" w:lineRule="auto"/>
        <w:rPr>
          <w:rFonts w:ascii="Arial" w:eastAsia="Times New Roman" w:hAnsi="Arial" w:cs="Arial"/>
          <w:sz w:val="28"/>
          <w:szCs w:val="28"/>
          <w:lang w:val="en-GB"/>
        </w:rPr>
      </w:pPr>
      <w:r w:rsidRPr="00D17D3C">
        <w:rPr>
          <w:rFonts w:ascii="Arial" w:eastAsia="Times New Roman" w:hAnsi="Arial" w:cs="Arial"/>
          <w:sz w:val="28"/>
          <w:szCs w:val="28"/>
          <w:lang w:val="en-GB"/>
        </w:rPr>
        <w:t>Anyone who incites another to commit a crime in the execution of a terrorist purpose, even if his act has no effect, shall be punished by imprisonment. </w:t>
      </w:r>
    </w:p>
    <w:p w14:paraId="24FDF23F" w14:textId="77777777" w:rsidR="00D17D3C" w:rsidRPr="00D17D3C" w:rsidRDefault="00D17D3C" w:rsidP="006B383B">
      <w:pPr>
        <w:spacing w:before="120" w:after="0" w:line="360" w:lineRule="auto"/>
        <w:rPr>
          <w:rFonts w:ascii="Arial" w:eastAsia="Times New Roman" w:hAnsi="Arial" w:cs="Arial"/>
          <w:sz w:val="28"/>
          <w:szCs w:val="28"/>
          <w:lang w:val="en-GB"/>
        </w:rPr>
      </w:pPr>
      <w:r w:rsidRPr="00D17D3C">
        <w:rPr>
          <w:rFonts w:ascii="Arial" w:eastAsia="Times New Roman" w:hAnsi="Arial" w:cs="Arial"/>
          <w:b/>
          <w:bCs/>
          <w:sz w:val="28"/>
          <w:szCs w:val="28"/>
          <w:lang w:val="en-GB"/>
        </w:rPr>
        <w:t>Article (30): </w:t>
      </w:r>
    </w:p>
    <w:p w14:paraId="3D433314" w14:textId="77777777" w:rsidR="00D17D3C" w:rsidRPr="00D17D3C" w:rsidRDefault="00D17D3C" w:rsidP="006B383B">
      <w:pPr>
        <w:spacing w:before="120" w:after="0" w:line="360" w:lineRule="auto"/>
        <w:rPr>
          <w:rFonts w:ascii="Arial" w:eastAsia="Times New Roman" w:hAnsi="Arial" w:cs="Arial"/>
          <w:sz w:val="28"/>
          <w:szCs w:val="28"/>
          <w:lang w:val="en-GB"/>
        </w:rPr>
      </w:pPr>
      <w:r w:rsidRPr="00D17D3C">
        <w:rPr>
          <w:rFonts w:ascii="Arial" w:eastAsia="Times New Roman" w:hAnsi="Arial" w:cs="Arial"/>
          <w:sz w:val="28"/>
          <w:szCs w:val="28"/>
          <w:lang w:val="en-GB"/>
        </w:rPr>
        <w:t>The Public Prosecution may directly order access to or obtain any data or information relating to accounts, deposits, trusts or safes at banks or other financial institutions or the relevant transactions , if this requires revealing the truth about one of the crimes provided for in this Law. </w:t>
      </w:r>
    </w:p>
    <w:p w14:paraId="560B5816" w14:textId="77777777" w:rsidR="00D17D3C" w:rsidRPr="00D17D3C" w:rsidRDefault="00D17D3C" w:rsidP="006B383B">
      <w:pPr>
        <w:spacing w:before="120" w:after="0" w:line="360" w:lineRule="auto"/>
        <w:rPr>
          <w:rFonts w:ascii="Arial" w:eastAsia="Times New Roman" w:hAnsi="Arial" w:cs="Arial"/>
          <w:sz w:val="28"/>
          <w:szCs w:val="28"/>
          <w:lang w:val="en-GB"/>
        </w:rPr>
      </w:pPr>
      <w:r w:rsidRPr="00D17D3C">
        <w:rPr>
          <w:rFonts w:ascii="Arial" w:eastAsia="Times New Roman" w:hAnsi="Arial" w:cs="Arial"/>
          <w:b/>
          <w:bCs/>
          <w:sz w:val="28"/>
          <w:szCs w:val="28"/>
          <w:lang w:val="en-GB"/>
        </w:rPr>
        <w:t>Article Two </w:t>
      </w:r>
    </w:p>
    <w:p w14:paraId="0C3F2B52" w14:textId="77777777" w:rsidR="00D17D3C" w:rsidRPr="00D17D3C" w:rsidRDefault="00D17D3C" w:rsidP="006B383B">
      <w:pPr>
        <w:spacing w:before="120" w:after="0" w:line="360" w:lineRule="auto"/>
        <w:rPr>
          <w:rFonts w:ascii="Arial" w:eastAsia="Times New Roman" w:hAnsi="Arial" w:cs="Arial"/>
          <w:sz w:val="28"/>
          <w:szCs w:val="28"/>
          <w:lang w:val="en-GB"/>
        </w:rPr>
      </w:pPr>
      <w:r w:rsidRPr="00D17D3C">
        <w:rPr>
          <w:rFonts w:ascii="Arial" w:eastAsia="Times New Roman" w:hAnsi="Arial" w:cs="Arial"/>
          <w:sz w:val="28"/>
          <w:szCs w:val="28"/>
          <w:lang w:val="en-GB"/>
        </w:rPr>
        <w:t>The word (or property) shall be added after the word (equipment) and before the phrase (or information) in the second paragraph of Article (6) of Law No. (58) of 2006 regarding Protection of Society from Terrorist Acts, and a new Article No. (24) bis shall be added to this law, which reads as follows: </w:t>
      </w:r>
    </w:p>
    <w:p w14:paraId="6E6DAEC5" w14:textId="77777777" w:rsidR="00D17D3C" w:rsidRPr="00D17D3C" w:rsidRDefault="00D17D3C" w:rsidP="006B383B">
      <w:pPr>
        <w:spacing w:before="120" w:after="0" w:line="360" w:lineRule="auto"/>
        <w:rPr>
          <w:rFonts w:ascii="Arial" w:eastAsia="Times New Roman" w:hAnsi="Arial" w:cs="Arial"/>
          <w:sz w:val="28"/>
          <w:szCs w:val="28"/>
          <w:lang w:val="en-GB"/>
        </w:rPr>
      </w:pPr>
      <w:r w:rsidRPr="00D17D3C">
        <w:rPr>
          <w:rFonts w:ascii="Arial" w:eastAsia="Times New Roman" w:hAnsi="Arial" w:cs="Arial"/>
          <w:b/>
          <w:bCs/>
          <w:sz w:val="28"/>
          <w:szCs w:val="28"/>
          <w:lang w:val="en-GB"/>
        </w:rPr>
        <w:t>Article No.(24) bis: </w:t>
      </w:r>
    </w:p>
    <w:p w14:paraId="00D6AE70" w14:textId="77777777" w:rsidR="00D17D3C" w:rsidRPr="00D17D3C" w:rsidRDefault="00D17D3C" w:rsidP="006B383B">
      <w:pPr>
        <w:spacing w:before="120" w:after="0" w:line="360" w:lineRule="auto"/>
        <w:rPr>
          <w:rFonts w:ascii="Arial" w:eastAsia="Times New Roman" w:hAnsi="Arial" w:cs="Arial"/>
          <w:sz w:val="28"/>
          <w:szCs w:val="28"/>
          <w:lang w:val="en-GB"/>
        </w:rPr>
      </w:pPr>
      <w:r w:rsidRPr="00D17D3C">
        <w:rPr>
          <w:rFonts w:ascii="Arial" w:eastAsia="Times New Roman" w:hAnsi="Arial" w:cs="Arial"/>
          <w:sz w:val="28"/>
          <w:szCs w:val="28"/>
          <w:lang w:val="en-GB"/>
        </w:rPr>
        <w:t>In addition to the prescribed penalty, the person convicted of the crimes stipulated in Articles (5) to (9), (12) and (17) of this Law shall be sentenced to citizenship deprivation. </w:t>
      </w:r>
    </w:p>
    <w:p w14:paraId="46EE9D55" w14:textId="77777777" w:rsidR="00D17D3C" w:rsidRPr="00D17D3C" w:rsidRDefault="00D17D3C" w:rsidP="006B383B">
      <w:pPr>
        <w:spacing w:before="120" w:after="0" w:line="360" w:lineRule="auto"/>
        <w:rPr>
          <w:rFonts w:ascii="Arial" w:eastAsia="Times New Roman" w:hAnsi="Arial" w:cs="Arial"/>
          <w:sz w:val="28"/>
          <w:szCs w:val="28"/>
          <w:lang w:val="en-GB"/>
        </w:rPr>
      </w:pPr>
      <w:r w:rsidRPr="00D17D3C">
        <w:rPr>
          <w:rFonts w:ascii="Arial" w:eastAsia="Times New Roman" w:hAnsi="Arial" w:cs="Arial"/>
          <w:sz w:val="28"/>
          <w:szCs w:val="28"/>
          <w:lang w:val="en-GB"/>
        </w:rPr>
        <w:t>The ruling revoking the nationality shall not be executed except with the consent of the King of the Country. </w:t>
      </w:r>
    </w:p>
    <w:p w14:paraId="4B16AAE2" w14:textId="77777777" w:rsidR="00D17D3C" w:rsidRPr="00D17D3C" w:rsidRDefault="00D17D3C" w:rsidP="006B383B">
      <w:pPr>
        <w:spacing w:before="120" w:after="0" w:line="360" w:lineRule="auto"/>
        <w:rPr>
          <w:rFonts w:ascii="Arial" w:eastAsia="Times New Roman" w:hAnsi="Arial" w:cs="Arial"/>
          <w:sz w:val="28"/>
          <w:szCs w:val="28"/>
          <w:lang w:val="en-GB"/>
        </w:rPr>
      </w:pPr>
      <w:r w:rsidRPr="00D17D3C">
        <w:rPr>
          <w:rFonts w:ascii="Arial" w:eastAsia="Times New Roman" w:hAnsi="Arial" w:cs="Arial"/>
          <w:b/>
          <w:bCs/>
          <w:sz w:val="28"/>
          <w:szCs w:val="28"/>
          <w:lang w:val="en-GB"/>
        </w:rPr>
        <w:t>Article Three </w:t>
      </w:r>
    </w:p>
    <w:p w14:paraId="3FA67FB6" w14:textId="77777777" w:rsidR="00D17D3C" w:rsidRPr="00D17D3C" w:rsidRDefault="00D17D3C" w:rsidP="006B383B">
      <w:pPr>
        <w:spacing w:before="120" w:after="0" w:line="360" w:lineRule="auto"/>
        <w:rPr>
          <w:rFonts w:ascii="Arial" w:eastAsia="Times New Roman" w:hAnsi="Arial" w:cs="Arial"/>
          <w:sz w:val="28"/>
          <w:szCs w:val="28"/>
          <w:lang w:val="en-GB"/>
        </w:rPr>
      </w:pPr>
      <w:r w:rsidRPr="00D17D3C">
        <w:rPr>
          <w:rFonts w:ascii="Arial" w:eastAsia="Times New Roman" w:hAnsi="Arial" w:cs="Arial"/>
          <w:sz w:val="28"/>
          <w:szCs w:val="28"/>
          <w:lang w:val="en-GB"/>
        </w:rPr>
        <w:t>The Prime Minister and the ministers -each within his jurisdiction- shall implement the provisions of this Law, and it shall come into force from the date of its publication in the Official Gazette. </w:t>
      </w:r>
    </w:p>
    <w:p w14:paraId="717E3A43" w14:textId="77777777" w:rsidR="00D17D3C" w:rsidRPr="00D17D3C" w:rsidRDefault="00D17D3C" w:rsidP="006B383B">
      <w:pPr>
        <w:spacing w:before="120" w:after="0" w:line="360" w:lineRule="auto"/>
        <w:rPr>
          <w:rFonts w:ascii="Arial" w:eastAsia="Times New Roman" w:hAnsi="Arial" w:cs="Arial"/>
          <w:sz w:val="28"/>
          <w:szCs w:val="28"/>
          <w:lang w:val="en-GB"/>
        </w:rPr>
      </w:pPr>
      <w:r w:rsidRPr="00D17D3C">
        <w:rPr>
          <w:rFonts w:ascii="Arial" w:eastAsia="Times New Roman" w:hAnsi="Arial" w:cs="Arial"/>
          <w:b/>
          <w:bCs/>
          <w:sz w:val="28"/>
          <w:szCs w:val="28"/>
          <w:lang w:val="en-GB"/>
        </w:rPr>
        <w:t>King of the Kingdom of Bahrain </w:t>
      </w:r>
    </w:p>
    <w:p w14:paraId="128E11AE" w14:textId="77777777" w:rsidR="00D17D3C" w:rsidRPr="00D17D3C" w:rsidRDefault="00D17D3C" w:rsidP="006B383B">
      <w:pPr>
        <w:spacing w:before="120" w:after="0" w:line="360" w:lineRule="auto"/>
        <w:rPr>
          <w:rFonts w:ascii="Arial" w:eastAsia="Times New Roman" w:hAnsi="Arial" w:cs="Arial"/>
          <w:sz w:val="28"/>
          <w:szCs w:val="28"/>
          <w:lang w:val="en-GB"/>
        </w:rPr>
      </w:pPr>
      <w:r w:rsidRPr="00D17D3C">
        <w:rPr>
          <w:rFonts w:ascii="Arial" w:eastAsia="Times New Roman" w:hAnsi="Arial" w:cs="Arial"/>
          <w:b/>
          <w:bCs/>
          <w:sz w:val="28"/>
          <w:szCs w:val="28"/>
          <w:lang w:val="en-GB"/>
        </w:rPr>
        <w:t>Hamad bin Isa Al Khalifa, </w:t>
      </w:r>
    </w:p>
    <w:p w14:paraId="6F490511" w14:textId="77777777" w:rsidR="00D17D3C" w:rsidRPr="00D17D3C" w:rsidRDefault="00D17D3C" w:rsidP="006B383B">
      <w:pPr>
        <w:spacing w:before="120" w:after="0" w:line="360" w:lineRule="auto"/>
        <w:rPr>
          <w:rFonts w:ascii="Arial" w:eastAsia="Times New Roman" w:hAnsi="Arial" w:cs="Arial"/>
          <w:sz w:val="28"/>
          <w:szCs w:val="28"/>
          <w:lang w:val="en-GB"/>
        </w:rPr>
      </w:pPr>
      <w:r w:rsidRPr="00D17D3C">
        <w:rPr>
          <w:rFonts w:ascii="Arial" w:eastAsia="Times New Roman" w:hAnsi="Arial" w:cs="Arial"/>
          <w:b/>
          <w:bCs/>
          <w:sz w:val="28"/>
          <w:szCs w:val="28"/>
          <w:lang w:val="en-GB"/>
        </w:rPr>
        <w:t>Prime Minister </w:t>
      </w:r>
    </w:p>
    <w:p w14:paraId="5F545A9B" w14:textId="77777777" w:rsidR="00D17D3C" w:rsidRPr="00D17D3C" w:rsidRDefault="00D17D3C" w:rsidP="006B383B">
      <w:pPr>
        <w:spacing w:before="120" w:after="0" w:line="360" w:lineRule="auto"/>
        <w:rPr>
          <w:rFonts w:ascii="Arial" w:eastAsia="Times New Roman" w:hAnsi="Arial" w:cs="Arial"/>
          <w:sz w:val="28"/>
          <w:szCs w:val="28"/>
          <w:lang w:val="en-GB"/>
        </w:rPr>
      </w:pPr>
      <w:r w:rsidRPr="00D17D3C">
        <w:rPr>
          <w:rFonts w:ascii="Arial" w:eastAsia="Times New Roman" w:hAnsi="Arial" w:cs="Arial"/>
          <w:b/>
          <w:bCs/>
          <w:sz w:val="28"/>
          <w:szCs w:val="28"/>
          <w:lang w:val="en-GB"/>
        </w:rPr>
        <w:t>Khalifa bin Salman Al Khalifa </w:t>
      </w:r>
    </w:p>
    <w:p w14:paraId="4224C8D8" w14:textId="77777777" w:rsidR="00D17D3C" w:rsidRPr="00D17D3C" w:rsidRDefault="00D17D3C" w:rsidP="006B383B">
      <w:pPr>
        <w:spacing w:before="120" w:after="0" w:line="360" w:lineRule="auto"/>
        <w:rPr>
          <w:rFonts w:ascii="Arial" w:eastAsia="Times New Roman" w:hAnsi="Arial" w:cs="Arial"/>
          <w:sz w:val="28"/>
          <w:szCs w:val="28"/>
          <w:lang w:val="en-GB"/>
        </w:rPr>
      </w:pPr>
      <w:r w:rsidRPr="00D17D3C">
        <w:rPr>
          <w:rFonts w:ascii="Arial" w:eastAsia="Times New Roman" w:hAnsi="Arial" w:cs="Arial"/>
          <w:sz w:val="28"/>
          <w:szCs w:val="28"/>
          <w:lang w:val="en-GB"/>
        </w:rPr>
        <w:t>Issued at Riffa Palace: </w:t>
      </w:r>
    </w:p>
    <w:p w14:paraId="1839ECD3" w14:textId="77777777" w:rsidR="00D17D3C" w:rsidRPr="00D17D3C" w:rsidRDefault="00D17D3C" w:rsidP="006B383B">
      <w:pPr>
        <w:spacing w:before="120" w:after="0" w:line="360" w:lineRule="auto"/>
        <w:rPr>
          <w:rFonts w:ascii="Arial" w:eastAsia="Times New Roman" w:hAnsi="Arial" w:cs="Arial"/>
          <w:sz w:val="28"/>
          <w:szCs w:val="28"/>
          <w:lang w:val="en-GB"/>
        </w:rPr>
      </w:pPr>
      <w:r w:rsidRPr="00D17D3C">
        <w:rPr>
          <w:rFonts w:ascii="Arial" w:eastAsia="Times New Roman" w:hAnsi="Arial" w:cs="Arial"/>
          <w:sz w:val="28"/>
          <w:szCs w:val="28"/>
          <w:lang w:val="en-GB"/>
        </w:rPr>
        <w:t>On: 22 Ramadan 1434 A.H. </w:t>
      </w:r>
    </w:p>
    <w:p w14:paraId="013F12C7" w14:textId="77777777" w:rsidR="00D17D3C" w:rsidRPr="00D17D3C" w:rsidRDefault="00D17D3C" w:rsidP="006B383B">
      <w:pPr>
        <w:spacing w:before="120" w:after="0" w:line="360" w:lineRule="auto"/>
        <w:rPr>
          <w:rFonts w:ascii="Arial" w:eastAsia="Times New Roman" w:hAnsi="Arial" w:cs="Arial"/>
          <w:sz w:val="28"/>
          <w:szCs w:val="28"/>
          <w:lang w:val="en-GB"/>
        </w:rPr>
      </w:pPr>
      <w:r w:rsidRPr="00D17D3C">
        <w:rPr>
          <w:rFonts w:ascii="Arial" w:eastAsia="Times New Roman" w:hAnsi="Arial" w:cs="Arial"/>
          <w:sz w:val="28"/>
          <w:szCs w:val="28"/>
          <w:lang w:val="en-GB"/>
        </w:rPr>
        <w:t>Corresponding to: 31 July 2013 </w:t>
      </w:r>
    </w:p>
    <w:p w14:paraId="6BC011A4" w14:textId="77777777" w:rsidR="00D17D3C" w:rsidRPr="00D17D3C" w:rsidRDefault="00D17D3C" w:rsidP="006B383B">
      <w:pPr>
        <w:spacing w:before="120" w:after="0" w:line="360" w:lineRule="auto"/>
        <w:rPr>
          <w:rFonts w:ascii="Arial" w:eastAsia="Times New Roman" w:hAnsi="Arial" w:cs="Arial"/>
          <w:b/>
          <w:bCs/>
          <w:sz w:val="28"/>
          <w:szCs w:val="28"/>
        </w:rPr>
      </w:pPr>
    </w:p>
    <w:p w14:paraId="4271A702" w14:textId="77777777" w:rsidR="00D17D3C" w:rsidRPr="00D17D3C" w:rsidRDefault="00D17D3C" w:rsidP="006B383B">
      <w:pPr>
        <w:spacing w:before="120" w:after="0" w:line="360" w:lineRule="auto"/>
        <w:rPr>
          <w:rFonts w:ascii="Arial" w:hAnsi="Arial" w:cs="Arial"/>
          <w:sz w:val="28"/>
          <w:szCs w:val="28"/>
        </w:rPr>
      </w:pPr>
    </w:p>
    <w:sectPr w:rsidR="00D17D3C" w:rsidRPr="00D17D3C" w:rsidSect="00A04B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D3C"/>
    <w:rsid w:val="000129C5"/>
    <w:rsid w:val="00435380"/>
    <w:rsid w:val="00521F4E"/>
    <w:rsid w:val="006B383B"/>
    <w:rsid w:val="00A04B35"/>
    <w:rsid w:val="00D17D3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1A8EC8"/>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518</Words>
  <Characters>2953</Characters>
  <Application>Microsoft Office Word</Application>
  <DocSecurity>0</DocSecurity>
  <Lines>24</Lines>
  <Paragraphs>6</Paragraphs>
  <ScaleCrop>false</ScaleCrop>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2024-05-14T09:32:00Z</dcterms:created>
  <dcterms:modified xsi:type="dcterms:W3CDTF">2024-05-15T18:21:00Z</dcterms:modified>
</cp:coreProperties>
</file>