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03694" w14:textId="77777777" w:rsidR="006D50E0" w:rsidRDefault="006D50E0">
      <w:pPr>
        <w:spacing w:after="0" w:line="240" w:lineRule="auto"/>
        <w:jc w:val="left"/>
        <w:rPr>
          <w:rFonts w:ascii="Arial" w:hAnsi="Arial" w:cs="Arial"/>
          <w:b/>
          <w:bCs/>
          <w:sz w:val="28"/>
          <w:szCs w:val="28"/>
        </w:rPr>
      </w:pPr>
      <w:r>
        <w:rPr>
          <w:rFonts w:ascii="Arial" w:hAnsi="Arial" w:cs="Arial"/>
          <w:b/>
          <w:bCs/>
          <w:sz w:val="28"/>
          <w:szCs w:val="28"/>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2420132F" w14:textId="77777777" w:rsidR="006D50E0" w:rsidRDefault="006D50E0">
      <w:pPr>
        <w:spacing w:after="0" w:line="240" w:lineRule="auto"/>
        <w:jc w:val="left"/>
        <w:rPr>
          <w:rFonts w:ascii="Arial" w:hAnsi="Arial" w:cs="Arial"/>
          <w:b/>
          <w:bCs/>
          <w:sz w:val="28"/>
          <w:szCs w:val="28"/>
        </w:rPr>
      </w:pPr>
      <w:r>
        <w:rPr>
          <w:rFonts w:ascii="Arial" w:hAnsi="Arial" w:cs="Arial"/>
          <w:b/>
          <w:bCs/>
          <w:sz w:val="28"/>
          <w:szCs w:val="28"/>
        </w:rPr>
        <w:t>For any corrections, remarks, or suggestions, kindly contact us on translate@lloc.gov.bh</w:t>
      </w:r>
    </w:p>
    <w:p w14:paraId="12C80948" w14:textId="7D8CC76A" w:rsidR="006D50E0" w:rsidRDefault="006D50E0">
      <w:pPr>
        <w:spacing w:after="0" w:line="240" w:lineRule="auto"/>
        <w:jc w:val="left"/>
        <w:rPr>
          <w:rFonts w:ascii="Arial" w:hAnsi="Arial" w:cs="Arial"/>
          <w:b/>
          <w:bCs/>
          <w:sz w:val="28"/>
          <w:szCs w:val="28"/>
        </w:rPr>
      </w:pPr>
      <w:r>
        <w:rPr>
          <w:rFonts w:ascii="Arial" w:hAnsi="Arial" w:cs="Arial"/>
          <w:b/>
          <w:bCs/>
          <w:sz w:val="28"/>
          <w:szCs w:val="28"/>
        </w:rPr>
        <w:t>Published on the website on May 2024</w:t>
      </w:r>
      <w:r>
        <w:rPr>
          <w:rFonts w:ascii="Arial" w:hAnsi="Arial" w:cs="Arial"/>
          <w:b/>
          <w:bCs/>
          <w:sz w:val="28"/>
          <w:szCs w:val="28"/>
        </w:rPr>
        <w:br w:type="page"/>
      </w:r>
    </w:p>
    <w:p w14:paraId="51D3E77F" w14:textId="0EFCC96D" w:rsidR="00286DE1" w:rsidRPr="00286DE1" w:rsidRDefault="00286DE1" w:rsidP="006177EE">
      <w:pPr>
        <w:spacing w:before="120" w:after="0" w:line="360" w:lineRule="auto"/>
        <w:jc w:val="center"/>
        <w:rPr>
          <w:rFonts w:ascii="Arial" w:hAnsi="Arial" w:cs="Arial"/>
          <w:b/>
          <w:bCs/>
          <w:sz w:val="28"/>
          <w:szCs w:val="28"/>
        </w:rPr>
      </w:pPr>
      <w:r w:rsidRPr="00286DE1">
        <w:rPr>
          <w:rFonts w:ascii="Arial" w:hAnsi="Arial" w:cs="Arial"/>
          <w:b/>
          <w:bCs/>
          <w:sz w:val="28"/>
          <w:szCs w:val="28"/>
        </w:rPr>
        <w:lastRenderedPageBreak/>
        <w:t>Legislative Decree No. (17) of 2021</w:t>
      </w:r>
    </w:p>
    <w:p w14:paraId="4964DECF" w14:textId="03E2EAF9" w:rsidR="00286DE1" w:rsidRPr="00286DE1" w:rsidRDefault="00286DE1" w:rsidP="006177EE">
      <w:pPr>
        <w:spacing w:before="120" w:after="0" w:line="360" w:lineRule="auto"/>
        <w:jc w:val="center"/>
        <w:rPr>
          <w:rFonts w:ascii="Arial" w:hAnsi="Arial" w:cs="Arial"/>
          <w:b/>
          <w:bCs/>
          <w:sz w:val="28"/>
          <w:szCs w:val="28"/>
        </w:rPr>
      </w:pPr>
      <w:r w:rsidRPr="00286DE1">
        <w:rPr>
          <w:rFonts w:ascii="Arial" w:hAnsi="Arial" w:cs="Arial"/>
          <w:b/>
          <w:bCs/>
          <w:sz w:val="28"/>
          <w:szCs w:val="28"/>
        </w:rPr>
        <w:t xml:space="preserve"> Amending Certain Provisions of Legislative Decree No. (12) of 1986 Establishing and Regulating the University of Bahrain</w:t>
      </w:r>
    </w:p>
    <w:p w14:paraId="3DC485B7" w14:textId="77777777" w:rsidR="00286DE1" w:rsidRPr="00286DE1" w:rsidRDefault="00286DE1" w:rsidP="006177EE">
      <w:pPr>
        <w:spacing w:before="120" w:after="0" w:line="360" w:lineRule="auto"/>
        <w:jc w:val="center"/>
        <w:rPr>
          <w:rFonts w:ascii="Arial" w:hAnsi="Arial" w:cs="Arial"/>
          <w:b/>
          <w:bCs/>
          <w:sz w:val="28"/>
          <w:szCs w:val="28"/>
        </w:rPr>
      </w:pPr>
    </w:p>
    <w:p w14:paraId="374A8124" w14:textId="77777777" w:rsidR="00286DE1" w:rsidRPr="00286DE1" w:rsidRDefault="00286DE1" w:rsidP="006177EE">
      <w:pPr>
        <w:spacing w:before="120" w:after="0" w:line="360" w:lineRule="auto"/>
        <w:jc w:val="left"/>
        <w:rPr>
          <w:rFonts w:ascii="Arial" w:hAnsi="Arial" w:cs="Arial"/>
          <w:b/>
          <w:bCs/>
          <w:sz w:val="28"/>
          <w:szCs w:val="28"/>
        </w:rPr>
      </w:pPr>
      <w:r w:rsidRPr="00286DE1">
        <w:rPr>
          <w:rFonts w:ascii="Arial" w:hAnsi="Arial" w:cs="Arial"/>
          <w:b/>
          <w:bCs/>
          <w:sz w:val="28"/>
          <w:szCs w:val="28"/>
        </w:rPr>
        <w:t>We, Hamad bin Isa Al Khalifa, King of the Kingdom of Bahrain.</w:t>
      </w:r>
    </w:p>
    <w:p w14:paraId="40491CBE" w14:textId="77777777" w:rsidR="00286DE1" w:rsidRPr="00286DE1" w:rsidRDefault="00286DE1" w:rsidP="006177EE">
      <w:pPr>
        <w:spacing w:before="120" w:after="0" w:line="360" w:lineRule="auto"/>
        <w:jc w:val="left"/>
        <w:rPr>
          <w:rFonts w:ascii="Arial" w:hAnsi="Arial" w:cs="Arial"/>
          <w:sz w:val="28"/>
          <w:szCs w:val="28"/>
        </w:rPr>
      </w:pPr>
      <w:r w:rsidRPr="00286DE1">
        <w:rPr>
          <w:rFonts w:ascii="Arial" w:hAnsi="Arial" w:cs="Arial"/>
          <w:sz w:val="28"/>
          <w:szCs w:val="28"/>
        </w:rPr>
        <w:t>Having reviewed the Constitution, in particular article (38) thereof,</w:t>
      </w:r>
    </w:p>
    <w:p w14:paraId="4FE0769F" w14:textId="77777777" w:rsidR="00286DE1" w:rsidRPr="00286DE1" w:rsidRDefault="00286DE1" w:rsidP="006177EE">
      <w:pPr>
        <w:spacing w:before="120" w:after="0" w:line="360" w:lineRule="auto"/>
        <w:jc w:val="left"/>
        <w:rPr>
          <w:rFonts w:ascii="Arial" w:hAnsi="Arial" w:cs="Arial"/>
          <w:sz w:val="28"/>
          <w:szCs w:val="28"/>
        </w:rPr>
      </w:pPr>
      <w:r w:rsidRPr="00286DE1">
        <w:rPr>
          <w:rFonts w:ascii="Arial" w:hAnsi="Arial" w:cs="Arial"/>
          <w:sz w:val="28"/>
          <w:szCs w:val="28"/>
        </w:rPr>
        <w:t xml:space="preserve">Legislative Decree No. (12) of 1986 Establishing and Regulating the University of Bahrain, as amended by Decree Law No. (18) of 1999, </w:t>
      </w:r>
    </w:p>
    <w:p w14:paraId="7133842E" w14:textId="77777777" w:rsidR="00286DE1" w:rsidRPr="00286DE1" w:rsidRDefault="00286DE1" w:rsidP="006177EE">
      <w:pPr>
        <w:spacing w:before="120" w:after="0" w:line="360" w:lineRule="auto"/>
        <w:jc w:val="left"/>
        <w:rPr>
          <w:rFonts w:ascii="Arial" w:hAnsi="Arial" w:cs="Arial"/>
          <w:sz w:val="28"/>
          <w:szCs w:val="28"/>
        </w:rPr>
      </w:pPr>
      <w:r w:rsidRPr="00286DE1">
        <w:rPr>
          <w:rFonts w:ascii="Arial" w:hAnsi="Arial" w:cs="Arial"/>
          <w:sz w:val="28"/>
          <w:szCs w:val="28"/>
        </w:rPr>
        <w:t>Law No. (3) of 2005 with respect to Higher Education, as amended by Legislative Decree No. (31) of 2020,</w:t>
      </w:r>
    </w:p>
    <w:p w14:paraId="6062D16B" w14:textId="77777777" w:rsidR="00286DE1" w:rsidRPr="00286DE1" w:rsidRDefault="00286DE1" w:rsidP="006177EE">
      <w:pPr>
        <w:spacing w:before="120" w:after="0" w:line="360" w:lineRule="auto"/>
        <w:jc w:val="left"/>
        <w:rPr>
          <w:rFonts w:ascii="Arial" w:hAnsi="Arial" w:cs="Arial"/>
          <w:sz w:val="28"/>
          <w:szCs w:val="28"/>
        </w:rPr>
      </w:pPr>
      <w:r w:rsidRPr="00286DE1">
        <w:rPr>
          <w:rFonts w:ascii="Arial" w:hAnsi="Arial" w:cs="Arial"/>
          <w:sz w:val="28"/>
          <w:szCs w:val="28"/>
        </w:rPr>
        <w:t>And upon the submission of the Prime Minister,</w:t>
      </w:r>
    </w:p>
    <w:p w14:paraId="4A08E7B0" w14:textId="77777777" w:rsidR="00286DE1" w:rsidRPr="00286DE1" w:rsidRDefault="00286DE1" w:rsidP="006177EE">
      <w:pPr>
        <w:spacing w:before="120" w:after="0" w:line="360" w:lineRule="auto"/>
        <w:jc w:val="left"/>
        <w:rPr>
          <w:rFonts w:ascii="Arial" w:hAnsi="Arial" w:cs="Arial"/>
          <w:sz w:val="28"/>
          <w:szCs w:val="28"/>
        </w:rPr>
      </w:pPr>
      <w:r w:rsidRPr="00286DE1">
        <w:rPr>
          <w:rFonts w:ascii="Arial" w:hAnsi="Arial" w:cs="Arial"/>
          <w:sz w:val="28"/>
          <w:szCs w:val="28"/>
        </w:rPr>
        <w:t>And after the approval of the Council of Ministers,</w:t>
      </w:r>
    </w:p>
    <w:p w14:paraId="52AD2167" w14:textId="77777777" w:rsidR="00286DE1" w:rsidRPr="00286DE1" w:rsidRDefault="00286DE1" w:rsidP="006177EE">
      <w:pPr>
        <w:spacing w:before="120" w:after="0" w:line="360" w:lineRule="auto"/>
        <w:jc w:val="center"/>
        <w:rPr>
          <w:rFonts w:ascii="Arial" w:hAnsi="Arial" w:cs="Arial"/>
          <w:b/>
          <w:bCs/>
          <w:sz w:val="28"/>
          <w:szCs w:val="28"/>
        </w:rPr>
      </w:pPr>
      <w:r w:rsidRPr="00286DE1">
        <w:rPr>
          <w:rFonts w:ascii="Arial" w:hAnsi="Arial" w:cs="Arial"/>
          <w:b/>
          <w:bCs/>
          <w:sz w:val="28"/>
          <w:szCs w:val="28"/>
        </w:rPr>
        <w:t>Hereby Decree the following Law</w:t>
      </w:r>
    </w:p>
    <w:p w14:paraId="56E75DC9" w14:textId="77777777" w:rsidR="00286DE1" w:rsidRPr="00286DE1" w:rsidRDefault="00286DE1" w:rsidP="006177EE">
      <w:pPr>
        <w:spacing w:before="120" w:after="0" w:line="360" w:lineRule="auto"/>
        <w:jc w:val="center"/>
        <w:rPr>
          <w:rFonts w:ascii="Arial" w:hAnsi="Arial" w:cs="Arial"/>
          <w:b/>
          <w:bCs/>
          <w:sz w:val="28"/>
          <w:szCs w:val="28"/>
        </w:rPr>
      </w:pPr>
      <w:r w:rsidRPr="00286DE1">
        <w:rPr>
          <w:rFonts w:ascii="Arial" w:hAnsi="Arial" w:cs="Arial"/>
          <w:b/>
          <w:bCs/>
          <w:sz w:val="28"/>
          <w:szCs w:val="28"/>
        </w:rPr>
        <w:t>Article One</w:t>
      </w:r>
    </w:p>
    <w:p w14:paraId="0505BB0B" w14:textId="77777777" w:rsidR="00286DE1" w:rsidRPr="00286DE1" w:rsidRDefault="00286DE1" w:rsidP="006177EE">
      <w:pPr>
        <w:spacing w:before="120" w:after="0" w:line="360" w:lineRule="auto"/>
        <w:jc w:val="left"/>
        <w:rPr>
          <w:rFonts w:ascii="Arial" w:hAnsi="Arial" w:cs="Arial"/>
          <w:sz w:val="28"/>
          <w:szCs w:val="28"/>
        </w:rPr>
      </w:pPr>
      <w:r w:rsidRPr="00286DE1">
        <w:rPr>
          <w:rFonts w:ascii="Arial" w:hAnsi="Arial" w:cs="Arial"/>
          <w:sz w:val="28"/>
          <w:szCs w:val="28"/>
        </w:rPr>
        <w:t>The text of Article (11) of Legislative Decree no. (12) of 1986 establishing and regulating the University of Bahrain shall be replaced by the following text:</w:t>
      </w:r>
    </w:p>
    <w:p w14:paraId="47E5525D" w14:textId="77777777" w:rsidR="00286DE1" w:rsidRPr="00286DE1" w:rsidRDefault="00286DE1" w:rsidP="006177EE">
      <w:pPr>
        <w:spacing w:before="120" w:after="0" w:line="360" w:lineRule="auto"/>
        <w:jc w:val="left"/>
        <w:rPr>
          <w:rFonts w:ascii="Arial" w:hAnsi="Arial" w:cs="Arial"/>
          <w:sz w:val="28"/>
          <w:szCs w:val="28"/>
        </w:rPr>
      </w:pPr>
      <w:r w:rsidRPr="00286DE1">
        <w:rPr>
          <w:rFonts w:ascii="Arial" w:hAnsi="Arial" w:cs="Arial"/>
          <w:sz w:val="28"/>
          <w:szCs w:val="28"/>
        </w:rPr>
        <w:t>"The University’s Board of Trustees is formed by a decree, and consists of a chairman and a number of members not exceeding twelve members including the chairman of the Board.</w:t>
      </w:r>
    </w:p>
    <w:p w14:paraId="43958A8F" w14:textId="77777777" w:rsidR="00286DE1" w:rsidRPr="00286DE1" w:rsidRDefault="00286DE1" w:rsidP="006177EE">
      <w:pPr>
        <w:spacing w:before="120" w:after="0" w:line="360" w:lineRule="auto"/>
        <w:jc w:val="left"/>
        <w:rPr>
          <w:rFonts w:ascii="Arial" w:hAnsi="Arial" w:cs="Arial"/>
          <w:sz w:val="28"/>
          <w:szCs w:val="28"/>
        </w:rPr>
      </w:pPr>
      <w:r w:rsidRPr="00286DE1">
        <w:rPr>
          <w:rFonts w:ascii="Arial" w:hAnsi="Arial" w:cs="Arial"/>
          <w:sz w:val="28"/>
          <w:szCs w:val="28"/>
        </w:rPr>
        <w:t>The term of the membership in the board shall be four years subject to renewal."</w:t>
      </w:r>
    </w:p>
    <w:p w14:paraId="5AF16272" w14:textId="77777777" w:rsidR="00286DE1" w:rsidRPr="00286DE1" w:rsidRDefault="00286DE1" w:rsidP="006177EE">
      <w:pPr>
        <w:spacing w:before="120" w:after="0" w:line="360" w:lineRule="auto"/>
        <w:jc w:val="center"/>
        <w:rPr>
          <w:rFonts w:ascii="Arial" w:hAnsi="Arial" w:cs="Arial"/>
          <w:sz w:val="28"/>
          <w:szCs w:val="28"/>
        </w:rPr>
      </w:pPr>
      <w:r w:rsidRPr="00286DE1">
        <w:rPr>
          <w:rFonts w:ascii="Arial" w:hAnsi="Arial" w:cs="Arial"/>
          <w:b/>
          <w:bCs/>
          <w:sz w:val="28"/>
          <w:szCs w:val="28"/>
        </w:rPr>
        <w:t>Article Two</w:t>
      </w:r>
    </w:p>
    <w:p w14:paraId="795A88BA" w14:textId="77777777" w:rsidR="00286DE1" w:rsidRPr="00286DE1" w:rsidRDefault="00286DE1" w:rsidP="006177EE">
      <w:pPr>
        <w:spacing w:before="120" w:after="0" w:line="360" w:lineRule="auto"/>
        <w:jc w:val="left"/>
        <w:rPr>
          <w:rFonts w:ascii="Arial" w:hAnsi="Arial" w:cs="Arial"/>
          <w:sz w:val="28"/>
          <w:szCs w:val="28"/>
        </w:rPr>
      </w:pPr>
      <w:r w:rsidRPr="00286DE1">
        <w:rPr>
          <w:rFonts w:ascii="Arial" w:hAnsi="Arial" w:cs="Arial"/>
          <w:sz w:val="28"/>
          <w:szCs w:val="28"/>
        </w:rPr>
        <w:t>The term "The King of the Kingdom of Bahrain" shall replace the term "The Amir of the State of Bahrain" stated in Article (7), and the word "Decree" shall replace the phrase "Amiri Decree" stated in Article (22), of Law No. (12) of 1986 establishing and regulating the University of Bahrain.</w:t>
      </w:r>
    </w:p>
    <w:p w14:paraId="213C3531" w14:textId="77777777" w:rsidR="00286DE1" w:rsidRPr="00286DE1" w:rsidRDefault="00286DE1" w:rsidP="006177EE">
      <w:pPr>
        <w:spacing w:before="120" w:after="0" w:line="360" w:lineRule="auto"/>
        <w:jc w:val="left"/>
        <w:rPr>
          <w:rFonts w:ascii="Arial" w:hAnsi="Arial" w:cs="Arial"/>
          <w:sz w:val="28"/>
          <w:szCs w:val="28"/>
        </w:rPr>
      </w:pPr>
      <w:r w:rsidRPr="00286DE1">
        <w:rPr>
          <w:rFonts w:ascii="Arial" w:hAnsi="Arial" w:cs="Arial"/>
          <w:sz w:val="28"/>
          <w:szCs w:val="28"/>
        </w:rPr>
        <w:t>And the phrase "Kingdom of Bahrain" shall replace the phrase "State of Bahrain" wherever stated in the Articles of the mentioned Law.</w:t>
      </w:r>
    </w:p>
    <w:p w14:paraId="1DD168C0" w14:textId="77777777" w:rsidR="00286DE1" w:rsidRPr="00286DE1" w:rsidRDefault="00286DE1" w:rsidP="006177EE">
      <w:pPr>
        <w:spacing w:before="120" w:after="0" w:line="360" w:lineRule="auto"/>
        <w:jc w:val="center"/>
        <w:rPr>
          <w:rFonts w:ascii="Arial" w:hAnsi="Arial" w:cs="Arial"/>
          <w:b/>
          <w:bCs/>
          <w:sz w:val="28"/>
          <w:szCs w:val="28"/>
        </w:rPr>
      </w:pPr>
      <w:r w:rsidRPr="00286DE1">
        <w:rPr>
          <w:rFonts w:ascii="Arial" w:hAnsi="Arial" w:cs="Arial"/>
          <w:b/>
          <w:bCs/>
          <w:sz w:val="28"/>
          <w:szCs w:val="28"/>
        </w:rPr>
        <w:t>Article Three</w:t>
      </w:r>
    </w:p>
    <w:p w14:paraId="05AC6053" w14:textId="77777777" w:rsidR="00286DE1" w:rsidRPr="00286DE1" w:rsidRDefault="00286DE1" w:rsidP="006177EE">
      <w:pPr>
        <w:spacing w:before="120" w:after="0" w:line="360" w:lineRule="auto"/>
        <w:jc w:val="left"/>
        <w:rPr>
          <w:rFonts w:ascii="Arial" w:hAnsi="Arial" w:cs="Arial"/>
          <w:sz w:val="28"/>
          <w:szCs w:val="28"/>
        </w:rPr>
      </w:pPr>
      <w:r w:rsidRPr="00286DE1">
        <w:rPr>
          <w:rFonts w:ascii="Arial" w:hAnsi="Arial" w:cs="Arial"/>
          <w:sz w:val="28"/>
          <w:szCs w:val="28"/>
        </w:rPr>
        <w:t>The Prime Minister and ministers - each within his jurisdiction- shall implement the provisions of this Law, and it shall come into force from the day following the date of its publication in the Official Gazette.</w:t>
      </w:r>
    </w:p>
    <w:p w14:paraId="40F80A12" w14:textId="77777777" w:rsidR="00286DE1" w:rsidRPr="00286DE1" w:rsidRDefault="00286DE1" w:rsidP="006177EE">
      <w:pPr>
        <w:pStyle w:val="LawArticle"/>
        <w:spacing w:before="120" w:line="360" w:lineRule="auto"/>
        <w:jc w:val="left"/>
        <w:rPr>
          <w:rFonts w:eastAsiaTheme="minorHAnsi"/>
          <w:b w:val="0"/>
          <w:bCs w:val="0"/>
          <w:noProof w:val="0"/>
          <w:u w:val="none"/>
        </w:rPr>
      </w:pPr>
    </w:p>
    <w:p w14:paraId="06A73E0B" w14:textId="77777777" w:rsidR="00286DE1" w:rsidRPr="00286DE1" w:rsidRDefault="00286DE1" w:rsidP="006177EE">
      <w:pPr>
        <w:pStyle w:val="LawArticle"/>
        <w:spacing w:before="120" w:line="360" w:lineRule="auto"/>
        <w:jc w:val="left"/>
        <w:rPr>
          <w:rFonts w:eastAsiaTheme="minorHAnsi"/>
          <w:noProof w:val="0"/>
          <w:u w:val="none"/>
        </w:rPr>
      </w:pPr>
    </w:p>
    <w:p w14:paraId="5903D5E1" w14:textId="77777777" w:rsidR="00286DE1" w:rsidRPr="00286DE1" w:rsidRDefault="00286DE1" w:rsidP="006177EE">
      <w:pPr>
        <w:tabs>
          <w:tab w:val="left" w:pos="284"/>
        </w:tabs>
        <w:spacing w:before="120" w:after="0" w:line="360" w:lineRule="auto"/>
        <w:jc w:val="left"/>
        <w:rPr>
          <w:rFonts w:ascii="Arial" w:hAnsi="Arial" w:cs="Arial"/>
          <w:b/>
          <w:bCs/>
          <w:sz w:val="28"/>
          <w:szCs w:val="28"/>
        </w:rPr>
      </w:pPr>
      <w:r w:rsidRPr="00286DE1">
        <w:rPr>
          <w:rFonts w:ascii="Arial" w:hAnsi="Arial" w:cs="Arial"/>
          <w:b/>
          <w:bCs/>
          <w:sz w:val="28"/>
          <w:szCs w:val="28"/>
        </w:rPr>
        <w:t>King of the Kingdom of Bahrain</w:t>
      </w:r>
    </w:p>
    <w:p w14:paraId="03310730" w14:textId="77777777" w:rsidR="00286DE1" w:rsidRPr="00286DE1" w:rsidRDefault="00286DE1" w:rsidP="006177EE">
      <w:pPr>
        <w:tabs>
          <w:tab w:val="left" w:pos="284"/>
        </w:tabs>
        <w:spacing w:before="120" w:after="0" w:line="360" w:lineRule="auto"/>
        <w:jc w:val="left"/>
        <w:rPr>
          <w:rFonts w:ascii="Arial" w:hAnsi="Arial" w:cs="Arial"/>
          <w:b/>
          <w:bCs/>
          <w:sz w:val="28"/>
          <w:szCs w:val="28"/>
        </w:rPr>
      </w:pPr>
      <w:r w:rsidRPr="00286DE1">
        <w:rPr>
          <w:rFonts w:ascii="Arial" w:hAnsi="Arial" w:cs="Arial"/>
          <w:b/>
          <w:bCs/>
          <w:sz w:val="28"/>
          <w:szCs w:val="28"/>
        </w:rPr>
        <w:t>Hamad bin Isa Al Khalifa</w:t>
      </w:r>
    </w:p>
    <w:p w14:paraId="0AED65E0" w14:textId="77777777" w:rsidR="00286DE1" w:rsidRPr="00286DE1" w:rsidRDefault="00286DE1" w:rsidP="006177EE">
      <w:pPr>
        <w:tabs>
          <w:tab w:val="left" w:pos="284"/>
        </w:tabs>
        <w:spacing w:before="120" w:after="0" w:line="360" w:lineRule="auto"/>
        <w:jc w:val="left"/>
        <w:rPr>
          <w:rFonts w:ascii="Arial" w:hAnsi="Arial" w:cs="Arial"/>
          <w:b/>
          <w:bCs/>
          <w:sz w:val="28"/>
          <w:szCs w:val="28"/>
        </w:rPr>
      </w:pPr>
    </w:p>
    <w:p w14:paraId="506A0703" w14:textId="77777777" w:rsidR="00286DE1" w:rsidRPr="00286DE1" w:rsidRDefault="00286DE1" w:rsidP="006177EE">
      <w:pPr>
        <w:tabs>
          <w:tab w:val="left" w:pos="284"/>
        </w:tabs>
        <w:spacing w:before="120" w:after="0" w:line="360" w:lineRule="auto"/>
        <w:jc w:val="center"/>
        <w:rPr>
          <w:rFonts w:ascii="Arial" w:hAnsi="Arial" w:cs="Arial"/>
          <w:b/>
          <w:bCs/>
          <w:sz w:val="28"/>
          <w:szCs w:val="28"/>
        </w:rPr>
      </w:pPr>
      <w:r w:rsidRPr="00286DE1">
        <w:rPr>
          <w:rFonts w:ascii="Arial" w:hAnsi="Arial" w:cs="Arial"/>
          <w:b/>
          <w:bCs/>
          <w:sz w:val="28"/>
          <w:szCs w:val="28"/>
        </w:rPr>
        <w:t>The Prime Minister</w:t>
      </w:r>
    </w:p>
    <w:p w14:paraId="0E9BD740" w14:textId="77777777" w:rsidR="00286DE1" w:rsidRPr="00286DE1" w:rsidRDefault="00286DE1" w:rsidP="006177EE">
      <w:pPr>
        <w:tabs>
          <w:tab w:val="left" w:pos="284"/>
        </w:tabs>
        <w:spacing w:before="120" w:after="0" w:line="360" w:lineRule="auto"/>
        <w:jc w:val="center"/>
        <w:rPr>
          <w:rFonts w:ascii="Arial" w:hAnsi="Arial" w:cs="Arial"/>
          <w:b/>
          <w:bCs/>
          <w:sz w:val="28"/>
          <w:szCs w:val="28"/>
        </w:rPr>
      </w:pPr>
      <w:r w:rsidRPr="00286DE1">
        <w:rPr>
          <w:rFonts w:ascii="Arial" w:hAnsi="Arial" w:cs="Arial"/>
          <w:b/>
          <w:bCs/>
          <w:sz w:val="28"/>
          <w:szCs w:val="28"/>
        </w:rPr>
        <w:t>Salman bin Hamad Al Khalifa</w:t>
      </w:r>
    </w:p>
    <w:p w14:paraId="0B9D5C4A" w14:textId="77777777" w:rsidR="00286DE1" w:rsidRPr="00286DE1" w:rsidRDefault="00286DE1" w:rsidP="006177EE">
      <w:pPr>
        <w:tabs>
          <w:tab w:val="left" w:pos="284"/>
        </w:tabs>
        <w:spacing w:before="120" w:after="0" w:line="360" w:lineRule="auto"/>
        <w:jc w:val="center"/>
        <w:rPr>
          <w:rFonts w:ascii="Arial" w:hAnsi="Arial" w:cs="Arial"/>
          <w:b/>
          <w:bCs/>
          <w:sz w:val="28"/>
          <w:szCs w:val="28"/>
          <w:lang w:bidi="ar-BH"/>
        </w:rPr>
      </w:pPr>
    </w:p>
    <w:p w14:paraId="2EEA328A" w14:textId="77777777" w:rsidR="00286DE1" w:rsidRPr="00286DE1" w:rsidRDefault="00286DE1" w:rsidP="006177EE">
      <w:pPr>
        <w:tabs>
          <w:tab w:val="left" w:pos="284"/>
        </w:tabs>
        <w:spacing w:before="120" w:after="0" w:line="360" w:lineRule="auto"/>
        <w:jc w:val="center"/>
        <w:rPr>
          <w:rFonts w:ascii="Arial" w:hAnsi="Arial" w:cs="Arial"/>
          <w:b/>
          <w:bCs/>
          <w:sz w:val="28"/>
          <w:szCs w:val="28"/>
          <w:lang w:bidi="ar-BH"/>
        </w:rPr>
      </w:pPr>
    </w:p>
    <w:p w14:paraId="69A19FB0" w14:textId="77777777" w:rsidR="00286DE1" w:rsidRPr="00286DE1" w:rsidRDefault="00286DE1" w:rsidP="006177EE">
      <w:pPr>
        <w:pStyle w:val="LawArticle"/>
        <w:spacing w:before="120" w:line="360" w:lineRule="auto"/>
        <w:jc w:val="left"/>
        <w:rPr>
          <w:rFonts w:eastAsiaTheme="minorHAnsi"/>
          <w:noProof w:val="0"/>
          <w:u w:val="none"/>
        </w:rPr>
      </w:pPr>
      <w:r w:rsidRPr="00286DE1">
        <w:rPr>
          <w:rFonts w:eastAsiaTheme="minorHAnsi"/>
          <w:noProof w:val="0"/>
          <w:u w:val="none"/>
        </w:rPr>
        <w:t xml:space="preserve">Issued at </w:t>
      </w:r>
    </w:p>
    <w:p w14:paraId="78780EAE" w14:textId="77777777" w:rsidR="00286DE1" w:rsidRPr="00286DE1" w:rsidRDefault="00286DE1" w:rsidP="006177EE">
      <w:pPr>
        <w:pStyle w:val="LawArticle"/>
        <w:spacing w:before="120" w:line="360" w:lineRule="auto"/>
        <w:jc w:val="left"/>
        <w:rPr>
          <w:rFonts w:eastAsiaTheme="minorHAnsi"/>
          <w:noProof w:val="0"/>
          <w:u w:val="none"/>
        </w:rPr>
      </w:pPr>
      <w:r w:rsidRPr="00286DE1">
        <w:rPr>
          <w:rFonts w:eastAsiaTheme="minorHAnsi"/>
          <w:noProof w:val="0"/>
          <w:u w:val="none"/>
        </w:rPr>
        <w:t>Riffa Palace on:</w:t>
      </w:r>
    </w:p>
    <w:p w14:paraId="30D8310F" w14:textId="77777777" w:rsidR="00286DE1" w:rsidRPr="00286DE1" w:rsidRDefault="00286DE1" w:rsidP="006177EE">
      <w:pPr>
        <w:pStyle w:val="LawArticle"/>
        <w:spacing w:before="120" w:line="360" w:lineRule="auto"/>
        <w:jc w:val="left"/>
        <w:rPr>
          <w:rFonts w:eastAsiaTheme="minorHAnsi"/>
          <w:noProof w:val="0"/>
          <w:u w:val="none"/>
        </w:rPr>
      </w:pPr>
      <w:r w:rsidRPr="00286DE1">
        <w:rPr>
          <w:rFonts w:eastAsiaTheme="minorHAnsi"/>
          <w:noProof w:val="0"/>
          <w:u w:val="none"/>
        </w:rPr>
        <w:t xml:space="preserve"> 23 thul-Hijjah 1442 Hijra</w:t>
      </w:r>
    </w:p>
    <w:p w14:paraId="70DECC10" w14:textId="77777777" w:rsidR="00286DE1" w:rsidRPr="00286DE1" w:rsidRDefault="00286DE1" w:rsidP="006177EE">
      <w:pPr>
        <w:pStyle w:val="LawArticle"/>
        <w:spacing w:before="120" w:line="360" w:lineRule="auto"/>
        <w:jc w:val="left"/>
        <w:rPr>
          <w:rFonts w:eastAsiaTheme="minorHAnsi"/>
          <w:noProof w:val="0"/>
          <w:u w:val="none"/>
        </w:rPr>
      </w:pPr>
      <w:r w:rsidRPr="00286DE1">
        <w:rPr>
          <w:rFonts w:eastAsiaTheme="minorHAnsi"/>
          <w:noProof w:val="0"/>
          <w:u w:val="none"/>
        </w:rPr>
        <w:t xml:space="preserve">Corresponding to 2nd August 2021 </w:t>
      </w:r>
    </w:p>
    <w:sectPr w:rsidR="00286DE1" w:rsidRPr="00286DE1" w:rsidSect="008170C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A9377" w14:textId="77777777" w:rsidR="001E519C" w:rsidRDefault="001E519C">
      <w:pPr>
        <w:spacing w:after="0" w:line="240" w:lineRule="auto"/>
      </w:pPr>
      <w:r>
        <w:separator/>
      </w:r>
    </w:p>
  </w:endnote>
  <w:endnote w:type="continuationSeparator" w:id="0">
    <w:p w14:paraId="707FBA22" w14:textId="77777777" w:rsidR="001E519C" w:rsidRDefault="001E51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30CA2" w14:textId="77777777" w:rsidR="001E519C" w:rsidRDefault="001E519C">
      <w:pPr>
        <w:spacing w:after="0" w:line="240" w:lineRule="auto"/>
      </w:pPr>
      <w:r>
        <w:separator/>
      </w:r>
    </w:p>
  </w:footnote>
  <w:footnote w:type="continuationSeparator" w:id="0">
    <w:p w14:paraId="75ADCC94" w14:textId="77777777" w:rsidR="001E519C" w:rsidRDefault="001E51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BCB"/>
    <w:rsid w:val="000129C5"/>
    <w:rsid w:val="001E519C"/>
    <w:rsid w:val="00286DE1"/>
    <w:rsid w:val="00471BCB"/>
    <w:rsid w:val="004A431F"/>
    <w:rsid w:val="00521F4E"/>
    <w:rsid w:val="006177EE"/>
    <w:rsid w:val="006D50E0"/>
    <w:rsid w:val="00815AD9"/>
    <w:rsid w:val="008170C7"/>
    <w:rsid w:val="00854188"/>
    <w:rsid w:val="00A331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8494D3"/>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6" w:lineRule="auto"/>
      <w:jc w:val="right"/>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uiPriority w:val="99"/>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NormalWeb">
    <w:name w:val="Normal (Web)"/>
    <w:basedOn w:val="Normal"/>
    <w:uiPriority w:val="99"/>
    <w:semiHidden/>
    <w:unhideWhenUsed/>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pPr>
      <w:spacing w:after="0" w:line="240" w:lineRule="auto"/>
      <w:jc w:val="left"/>
    </w:pPr>
    <w:rPr>
      <w:rFonts w:ascii="Times New Roman" w:eastAsiaTheme="minorEastAsia" w:hAnsi="Times New Roman" w:cs="Times New Roman"/>
      <w:sz w:val="20"/>
      <w:szCs w:val="20"/>
    </w:rPr>
  </w:style>
  <w:style w:type="character" w:customStyle="1" w:styleId="FootnoteTextChar">
    <w:name w:val="Footnote Text Char"/>
    <w:basedOn w:val="DefaultParagraphFont"/>
    <w:link w:val="FootnoteText"/>
    <w:uiPriority w:val="99"/>
    <w:semiHidden/>
    <w:locked/>
    <w:rPr>
      <w:rFonts w:ascii="Times New Roman" w:eastAsiaTheme="minorEastAsia" w:hAnsi="Times New Roman" w:cs="Times New Roman" w:hint="default"/>
      <w:sz w:val="20"/>
      <w:szCs w:val="20"/>
    </w:rPr>
  </w:style>
  <w:style w:type="paragraph" w:customStyle="1" w:styleId="Default">
    <w:name w:val="Default"/>
    <w:uiPriority w:val="99"/>
    <w:pPr>
      <w:autoSpaceDE w:val="0"/>
      <w:autoSpaceDN w:val="0"/>
      <w:adjustRightInd w:val="0"/>
    </w:pPr>
    <w:rPr>
      <w:rFonts w:ascii="Verdana" w:hAnsi="Verdana" w:cs="Verdana"/>
      <w:color w:val="000000"/>
      <w:sz w:val="24"/>
      <w:szCs w:val="24"/>
    </w:rPr>
  </w:style>
  <w:style w:type="character" w:customStyle="1" w:styleId="LawArticleChar">
    <w:name w:val="LawArticle Char"/>
    <w:link w:val="LawArticle"/>
    <w:locked/>
    <w:rPr>
      <w:rFonts w:ascii="Arial" w:eastAsia="Times New Roman" w:hAnsi="Arial" w:cs="Arial" w:hint="default"/>
      <w:b/>
      <w:bCs/>
      <w:noProof/>
      <w:sz w:val="28"/>
      <w:szCs w:val="28"/>
      <w:u w:val="single"/>
    </w:rPr>
  </w:style>
  <w:style w:type="paragraph" w:customStyle="1" w:styleId="LawArticle">
    <w:name w:val="LawArticle"/>
    <w:basedOn w:val="Normal"/>
    <w:link w:val="LawArticleChar"/>
    <w:uiPriority w:val="99"/>
    <w:pPr>
      <w:overflowPunct w:val="0"/>
      <w:autoSpaceDE w:val="0"/>
      <w:autoSpaceDN w:val="0"/>
      <w:adjustRightInd w:val="0"/>
      <w:spacing w:after="0" w:line="240" w:lineRule="auto"/>
      <w:jc w:val="center"/>
    </w:pPr>
    <w:rPr>
      <w:rFonts w:ascii="Arial" w:eastAsia="Times New Roman" w:hAnsi="Arial" w:cs="Arial"/>
      <w:b/>
      <w:bCs/>
      <w:noProof/>
      <w:sz w:val="28"/>
      <w:szCs w:val="28"/>
      <w:u w:val="single"/>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39"/>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378</Words>
  <Characters>2160</Characters>
  <Application>Microsoft Office Word</Application>
  <DocSecurity>0</DocSecurity>
  <Lines>18</Lines>
  <Paragraphs>5</Paragraphs>
  <ScaleCrop>false</ScaleCrop>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حمد عبدالمنعم الخالدي</dc:creator>
  <cp:keywords/>
  <dc:description/>
  <cp:lastModifiedBy>فيصل فايز البلوشي</cp:lastModifiedBy>
  <cp:revision>6</cp:revision>
  <dcterms:created xsi:type="dcterms:W3CDTF">2024-05-14T09:25:00Z</dcterms:created>
  <dcterms:modified xsi:type="dcterms:W3CDTF">2024-05-20T20:36:00Z</dcterms:modified>
</cp:coreProperties>
</file>