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76D735" w14:textId="77777777" w:rsidR="00E90FBD" w:rsidRPr="00E90FBD" w:rsidRDefault="00E90FBD" w:rsidP="00145FFF">
      <w:pPr>
        <w:spacing w:before="120" w:after="0" w:line="360" w:lineRule="auto"/>
        <w:rPr>
          <w:rFonts w:ascii="Arial" w:eastAsia="Times New Roman" w:hAnsi="Arial" w:cs="Arial"/>
          <w:b/>
          <w:bCs/>
          <w:sz w:val="28"/>
          <w:szCs w:val="28"/>
          <w:lang w:val="en-US"/>
        </w:rPr>
      </w:pPr>
      <w:r w:rsidRPr="00E90FBD">
        <w:rPr>
          <w:rFonts w:ascii="Arial" w:eastAsia="Times New Roman" w:hAnsi="Arial" w:cs="Arial"/>
          <w:b/>
          <w:bCs/>
          <w:sz w:val="28"/>
          <w:szCs w:val="28"/>
          <w:lang w:val="en-U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C2B069D" w14:textId="77777777" w:rsidR="00E90FBD" w:rsidRPr="00E90FBD" w:rsidRDefault="00E90FBD" w:rsidP="00145FFF">
      <w:pPr>
        <w:spacing w:before="120" w:after="0" w:line="360" w:lineRule="auto"/>
        <w:rPr>
          <w:rFonts w:ascii="Arial" w:eastAsia="Times New Roman" w:hAnsi="Arial" w:cs="Arial"/>
          <w:b/>
          <w:bCs/>
          <w:sz w:val="28"/>
          <w:szCs w:val="28"/>
          <w:lang w:val="en-US"/>
        </w:rPr>
      </w:pPr>
      <w:r w:rsidRPr="00E90FBD">
        <w:rPr>
          <w:rFonts w:ascii="Arial" w:eastAsia="Times New Roman" w:hAnsi="Arial" w:cs="Arial"/>
          <w:b/>
          <w:bCs/>
          <w:sz w:val="28"/>
          <w:szCs w:val="28"/>
          <w:lang w:val="en-US"/>
        </w:rPr>
        <w:t>For any corrections, remarks, or suggestions, kindly contact us on translate@lloc.gov.bh</w:t>
      </w:r>
    </w:p>
    <w:p w14:paraId="59A98056" w14:textId="77777777" w:rsidR="00E90FBD" w:rsidRPr="00E90FBD" w:rsidRDefault="00E90FBD" w:rsidP="00145FFF">
      <w:pPr>
        <w:spacing w:before="120" w:after="0" w:line="360" w:lineRule="auto"/>
        <w:rPr>
          <w:rFonts w:ascii="Arial" w:eastAsia="Times New Roman" w:hAnsi="Arial" w:cs="Arial"/>
          <w:b/>
          <w:bCs/>
          <w:sz w:val="28"/>
          <w:szCs w:val="28"/>
          <w:lang w:val="en-US"/>
        </w:rPr>
      </w:pPr>
      <w:r w:rsidRPr="00E90FBD">
        <w:rPr>
          <w:rFonts w:ascii="Arial" w:eastAsia="Times New Roman" w:hAnsi="Arial" w:cs="Arial"/>
          <w:b/>
          <w:bCs/>
          <w:sz w:val="28"/>
          <w:szCs w:val="28"/>
          <w:lang w:val="en-US"/>
        </w:rPr>
        <w:t>Published on the website on May 2024</w:t>
      </w:r>
      <w:r w:rsidRPr="00E90FBD">
        <w:rPr>
          <w:rFonts w:ascii="Arial" w:eastAsia="Times New Roman" w:hAnsi="Arial" w:cs="Arial"/>
          <w:b/>
          <w:bCs/>
          <w:sz w:val="28"/>
          <w:szCs w:val="28"/>
          <w:lang w:val="en-US"/>
        </w:rPr>
        <w:br w:type="page"/>
      </w:r>
    </w:p>
    <w:p w14:paraId="56AD5223" w14:textId="77777777" w:rsidR="00E90FBD" w:rsidRPr="00E90FBD" w:rsidRDefault="00E90FBD" w:rsidP="00145FFF">
      <w:pPr>
        <w:spacing w:before="120" w:after="0" w:line="360" w:lineRule="auto"/>
        <w:jc w:val="center"/>
        <w:rPr>
          <w:rFonts w:ascii="Arial" w:eastAsia="Times New Roman" w:hAnsi="Arial" w:cs="Arial"/>
          <w:sz w:val="28"/>
          <w:szCs w:val="28"/>
          <w:lang w:val="en-US"/>
        </w:rPr>
      </w:pPr>
      <w:r w:rsidRPr="00E90FBD">
        <w:rPr>
          <w:rFonts w:ascii="Arial" w:eastAsia="Times New Roman" w:hAnsi="Arial" w:cs="Arial"/>
          <w:b/>
          <w:bCs/>
          <w:sz w:val="28"/>
          <w:szCs w:val="28"/>
          <w:lang w:val="en-US"/>
        </w:rPr>
        <w:lastRenderedPageBreak/>
        <w:t>Legislative Decree No. (16) of 1997 ratifying the Agreement for the Promotion and Protection of Investments Between The Government of the State of Bahrain and the Government of the Arab Republic of Egypt</w:t>
      </w:r>
    </w:p>
    <w:p w14:paraId="5234DBF6"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br w:type="page"/>
      </w:r>
    </w:p>
    <w:p w14:paraId="50E73EA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We, Isa bin Salman Al Khalifa, Amir of the The State of Bahrain. </w:t>
      </w:r>
    </w:p>
    <w:p w14:paraId="525ADDFD"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sz w:val="28"/>
          <w:szCs w:val="28"/>
        </w:rPr>
        <w:t>Having reviewed the Constitution, </w:t>
      </w:r>
    </w:p>
    <w:p w14:paraId="03030689"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sz w:val="28"/>
          <w:szCs w:val="28"/>
        </w:rPr>
        <w:t>Amiri Order No. (4) of 1975, </w:t>
      </w:r>
    </w:p>
    <w:p w14:paraId="261E5E2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And Agreement for the Promotion and Protection of Investments Between The Government of the State of Bahrain and the Government of the Arab Republic of Egypt, signed in Cairo on 15/5/1418 A.H. Corresponding to 17/9/1997 </w:t>
      </w:r>
    </w:p>
    <w:p w14:paraId="760EFAB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And upon the submission of the Minister of Finance and National Economy, </w:t>
      </w:r>
    </w:p>
    <w:p w14:paraId="37B49186"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And after the approval of the Council of Ministers, </w:t>
      </w:r>
    </w:p>
    <w:p w14:paraId="253F9C1F"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lang w:val="en-US"/>
        </w:rPr>
        <w:t>Hereby Decree the following Law: </w:t>
      </w:r>
    </w:p>
    <w:p w14:paraId="14550DF5"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One </w:t>
      </w:r>
    </w:p>
    <w:p w14:paraId="1E05286D"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And The Agreement for the Promotion and Protection of Investments Between The Government of the State of Bahrain and the Government of the Arab Republic of Egypt, signed in Cairo on 15/5/1418 A.H. Corresponding to 17/9/1997, attached to this law has been ratified. </w:t>
      </w:r>
    </w:p>
    <w:p w14:paraId="46ECAED2"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Two </w:t>
      </w:r>
    </w:p>
    <w:p w14:paraId="00FB843C"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The Ministers- each within his jurisdiction- shall implement the provisions of this Law, and it shall come into force from the date of its publication in the Official Gazette. </w:t>
      </w:r>
    </w:p>
    <w:p w14:paraId="4C0CB262"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lang w:val="en-US"/>
        </w:rPr>
        <w:t>Amir of the State of Bahrain </w:t>
      </w:r>
    </w:p>
    <w:p w14:paraId="1E244979"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lang w:val="en-US"/>
        </w:rPr>
        <w:t>Isa bin Salman Al Khalifa </w:t>
      </w:r>
    </w:p>
    <w:p w14:paraId="71236D2A"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Issued at Riffa Palace </w:t>
      </w:r>
    </w:p>
    <w:p w14:paraId="771FC5A9"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lang w:val="en-US"/>
        </w:rPr>
        <w:t>On 27 Jumada Al-awwal 1418 A.H. </w:t>
      </w:r>
    </w:p>
    <w:p w14:paraId="18EEE9B2"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Corresponding to 29 September 1997 </w:t>
      </w:r>
    </w:p>
    <w:p w14:paraId="20880A89"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lang w:val="en-US"/>
        </w:rPr>
        <w:t>Agreement for the Promotion and Protection of Investments Between The Government of the State of Bahrain and the Government of the Arab Republic of Egypt </w:t>
      </w:r>
    </w:p>
    <w:p w14:paraId="1E08FE71"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 </w:t>
      </w:r>
    </w:p>
    <w:p w14:paraId="5A15F244"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The Government of the State of Bahrain and the Government of the Arab Republic of Egypt, hereinafter referred to as the Contracting Parties, </w:t>
      </w:r>
    </w:p>
    <w:p w14:paraId="16FC03E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Wishing to create appropriate conditions for the intensification of the investment activity of the nationals of both countries and their companies in the territory of the other State, </w:t>
      </w:r>
    </w:p>
    <w:p w14:paraId="5D2E8FA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Aware that the promotion and mutual protection of such investments, will stimulate individual business activity and work to consolidate and increase prosperity in both countries, Have agreed as follows: </w:t>
      </w:r>
    </w:p>
    <w:p w14:paraId="5E49F898"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(1) </w:t>
      </w:r>
    </w:p>
    <w:p w14:paraId="56D2D3E2"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Definitions </w:t>
      </w:r>
    </w:p>
    <w:p w14:paraId="711757D2"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As regards the application of the provisions of this Convention, and unless expressly provided otherwise, the following words shall have the meanings corresponding to each of them as set out below: </w:t>
      </w:r>
    </w:p>
    <w:p w14:paraId="2791018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 "Investments": Means all types of assets owned by an investor of a Contracting Party and invested in the territory of the other Contracting Party earlier or later in the coming into force of this Agreement which is associated with the acceptance of the host Party as an investment under its laws and regulations. </w:t>
      </w:r>
    </w:p>
    <w:p w14:paraId="00F3B990"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B) "Investment": Means all types of assets that include, but are not limited to: </w:t>
      </w:r>
    </w:p>
    <w:p w14:paraId="21227AEB"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Movable and immovable property and any other proprietary rights, such as mortgages, real estate or other liens. </w:t>
      </w:r>
    </w:p>
    <w:p w14:paraId="42D2464A"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Shares, shares and bonds of companies, and any other form of contribution to companies, and proceeds reserved for the purpose of reinvestment. </w:t>
      </w:r>
    </w:p>
    <w:p w14:paraId="17DF5DB7"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3) The rights required in funds or any contractual works of financial value. </w:t>
      </w:r>
    </w:p>
    <w:p w14:paraId="6F1AE296"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4) Intellectual and industrial property rights and material elements relating to commercial assets (such as trademark, patents, goodwill) used in a licensed investment project; </w:t>
      </w:r>
    </w:p>
    <w:p w14:paraId="75737BAA"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5) Privileges granted under a law or contract, including concessions for the exploration, development, extraction or exploitation of natural resources. Any change in the image of an investment of assets does not affect its status as an investment. The term "investment" includes all investments based on the territory of the Contracting Parties or their maritime area. </w:t>
      </w:r>
    </w:p>
    <w:p w14:paraId="6A5C2D9A"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C) "Proceeds":  Means the amounts of any investment and includes, without limitation, profits, interest, capital gains, dividends and fees. </w:t>
      </w:r>
    </w:p>
    <w:p w14:paraId="6D4E6F1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D) "Investor"  means any natural or legal person possessing the nationality of one of the Contracting Parties under its laws and who invests in the territory of the other Party: </w:t>
      </w:r>
    </w:p>
    <w:p w14:paraId="7508D91C"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"Nationals", means natural persons possessing the nationality of a Contracting Party; </w:t>
      </w:r>
    </w:p>
    <w:p w14:paraId="6F7E0EDD"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"Companies": means any legal person based on the territory of one of the Contracting Parties in accordance with its legislation and whose principal position is in the same territory or that such legal person is managed directly or indirectly by the nationals of one of the Contracting Parties or by other moral persons The territory of one of the Contracting Parties established in accordance with its legislation. </w:t>
      </w:r>
    </w:p>
    <w:p w14:paraId="520D32B0"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sz w:val="28"/>
          <w:szCs w:val="28"/>
        </w:rPr>
        <w:t>E) "Territory": </w:t>
      </w:r>
    </w:p>
    <w:p w14:paraId="5F5E7442"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With respect to the State of Bahrain:  The territory means the State of Bahrain, including its islands, the territorial sea and the adjacent area, and any offshore territorial area of the State of Bahrain where such area is or is likely to be classified in the future under the national law of the State of Bahrain and in accordance with international law. Related to its seabed and its soil and natural resources. </w:t>
      </w:r>
    </w:p>
    <w:p w14:paraId="459EFE8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With respect to the Arab Republic of Egypt:  The territory means the territories within the international borders of the Arab Republic of Egypt, inland waters, territorial sea, continental shelf and exclusive economic zone subject to the sovereignty or territorial jurisdiction of the State in accordance with the provisions of international law. </w:t>
      </w:r>
    </w:p>
    <w:p w14:paraId="7F96CF10"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(2) </w:t>
      </w:r>
    </w:p>
    <w:p w14:paraId="5792931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u w:val="single"/>
          <w:lang w:val="en-US"/>
        </w:rPr>
        <w:t>Promotion and Protection of Investments </w:t>
      </w:r>
    </w:p>
    <w:p w14:paraId="2D21EA5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The Contracting Parties shall be committed to encouraging and providing suitable conditions for the nationals and companies of the other party to invest capital in its territory, and shall be committed to the declaration of capital in its territory and shall be obliged to authorize the said capitals to enter its territory subject to its right to exercise its powers under its domestic laws. </w:t>
      </w:r>
    </w:p>
    <w:p w14:paraId="0927F7A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The investments of nationals or companies of both Contracting Parties shall be accorded fair and equitable treatment at all times and shall afford them full protection and security in the territory of the other Contracting Party. </w:t>
      </w:r>
    </w:p>
    <w:p w14:paraId="5D5498A9"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3. Proceeds of investments re-invested in accordance with the laws and regulations of the host Contracting Party shall enjoy the same protection and privileges as the original investments. </w:t>
      </w:r>
    </w:p>
    <w:p w14:paraId="117160D1"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4. Each Contracting Party shall respect any obligations to which it has been bound in connection with the investments of nationals and companies of the other Contracting Party. </w:t>
      </w:r>
    </w:p>
    <w:p w14:paraId="459BE819"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sz w:val="28"/>
          <w:szCs w:val="28"/>
        </w:rPr>
        <w:t>5. </w:t>
      </w:r>
    </w:p>
    <w:p w14:paraId="0923ED70"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 Each Contracting Party shall endeavor to undertake the procedures and enact legislation necessary to grant facilities incentives and other appropriate forms of encouragement for investments by investors of the other Contracting Party. </w:t>
      </w:r>
    </w:p>
    <w:p w14:paraId="425899CF"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B. Investors of either Contracting Party shall have the right to submit to the competent authorities of the host Party the request for appropriate facilities, incentives and other forms of encouragement. The host Party shall grant them all assistance, approvals, acceptances, licenses and permits to the extent permitted by the Party's laws and regulations from time to time the host. </w:t>
      </w:r>
    </w:p>
    <w:p w14:paraId="5C1175E9"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6. Each Contracting Party shall, in respect of its tax policy, endeavor to grant fair and equitable treatment to investments belonging to investors of the other Contracting Party in accordance with the investment laws of the Contracting Parties and the amendments thereto and the Convention on the Encouragement of Arab Capital Transfer, whichever is better. </w:t>
      </w:r>
    </w:p>
    <w:p w14:paraId="24E5521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7. The Contracting Parties shall endeavor to provide various incentives and facilitations to attract capital and encourage their investment in their respective regions such as commercial, customs, financial, tax and monetary incentives, especially during the first years of investment projects, in accordance with the laws and regulations of the host party. </w:t>
      </w:r>
    </w:p>
    <w:p w14:paraId="0C8A61FF"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8. The investors of either Contracting Party shall be permitted to appoint senior administrative officers of their choice regardless of nationality to the extent permitted by the laws of the host Party. The Contracting Parties shall provide all necessary facilities, including the issuance of residence permits to these administrative officers and their families in accordance with the laws of the host Party. </w:t>
      </w:r>
    </w:p>
    <w:p w14:paraId="33DE24DE"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9. Each Contracting Party shall endeavor to avoid, to the greatest extent possible, the requirements for completion as a condition for the establishment, expansion or maintenance of investments which require the performance of the obligation to export the goods produced or those which specifically require the purchase of goods or services locally or those imposing any other similar requirements. </w:t>
      </w:r>
    </w:p>
    <w:p w14:paraId="6C391916"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10. Each Contracting Party shall provide effective means to assert claims and enforce rights relating to investment and property agreements and permits. </w:t>
      </w:r>
    </w:p>
    <w:p w14:paraId="658442EC"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11. Each Contracting Party shall declare all laws, regulations, procedures and administrative steps relating to or affecting investments. </w:t>
      </w:r>
    </w:p>
    <w:p w14:paraId="1E084129"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(3) </w:t>
      </w:r>
    </w:p>
    <w:p w14:paraId="3DB88B2D"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u w:val="single"/>
        </w:rPr>
        <w:t>Most-favoured Nation Treatment </w:t>
      </w:r>
    </w:p>
    <w:p w14:paraId="6BC0098C"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Each of the Contracting Parties shall accord to the investors or proceeds of the investors of the other Contracting Party a treatment not less than that accorded to the investments and proceeds of its nationals or nationals of any other State. However, such treatment does not include the privileges conferred by one of the Contracting Parties to investors A third State under the contribution of that State or its participation in a free zone, customs union, common market or regional organization or under the avoidance of double taxation agreements or the development of border trade. </w:t>
      </w:r>
    </w:p>
    <w:p w14:paraId="413B35A6"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(4) </w:t>
      </w:r>
    </w:p>
    <w:p w14:paraId="1785E977"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u w:val="single"/>
        </w:rPr>
        <w:t>Compensation of Losses </w:t>
      </w:r>
    </w:p>
    <w:p w14:paraId="075A2AA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The nationals or companies of either Contracting Party whose investments are in the territory of the other Contracting Party shall be liable to losses resulting from war or other armed conflict, revolution, national emergency, uprising, insurrection or disturbance in the territory of the other Contracting Party with a treatment of at least the treatment accorded to its citizens or companies or to nationals or companies of any other State in respect of the restitution of the rights to the owners or compensation for possible loss or other adjustments, while ensuring the free transfer of the amounts of such compensation. </w:t>
      </w:r>
    </w:p>
    <w:p w14:paraId="29226FBB"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Without prejudice to the provisions of paragraph (1) above in this Article, the rights of the nationals or subsidiaries of either Contracting Party shall be refunded or compensated in fair compensation with the freedom to transfer the amounts of such compensation in the event of any loss in any of the cases referred to therein Paragraph in the territory of the other Contracting Party, and shall result from: </w:t>
      </w:r>
    </w:p>
    <w:p w14:paraId="29251B79"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 The confiscation of their property by the forces or authorities of the other party, </w:t>
      </w:r>
    </w:p>
    <w:p w14:paraId="0F9BAFD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b. The destruction of their property by the forces or authorities of the other Contracting Party if such destruction is not in a combat or necessary conflict, Shall be reimbursed or given fair compensation while ensuring the free transfer of the amounts resulting from such compensation. </w:t>
      </w:r>
    </w:p>
    <w:p w14:paraId="62B4F456"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(5) </w:t>
      </w:r>
    </w:p>
    <w:p w14:paraId="530E7A68"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u w:val="single"/>
        </w:rPr>
        <w:t>Nationalization and Expropriation </w:t>
      </w:r>
    </w:p>
    <w:p w14:paraId="6D7AC896"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Subject to the provisions of Article (7) of this Agreement, the investments of nationals or subsidiaries of any Contracting Party may not be nationalized, expropriated or subjected to any equivalent procedures for nationalization or expropriation (hereinafter referred to as "expropriation") in the territory of the other Contracting Party, unless expropriation is made for a general purpose and on a non-discriminatory basis and in return for just and effective compensation paid immediately, provided that such compensation covers the real value of the investments prior to expropriation directly or prior to any expropriation, whichever is earlier. Interest shall be calculated at the normal commercial interest rate up to the date of payment. Such compensation shall be paid without delay, provided that it is available for use and freedom of transfer. The affected citizen or company shall be subject to immediate review in accordance with the laws of the Contracting Party which expropriates the property by a judicial authority. The subject of expropriation and valuation of investments affected by it will be decided in accordance with the principles set forth in this paragraph. </w:t>
      </w:r>
    </w:p>
    <w:p w14:paraId="1A6E1669"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Where either Contracting Party expropriates the assets of an incorporated company under the laws in force in any part of its territory and the nationals or companies of the other Contracting Party hold shares in that company, this Article will be applied to the extent necessary to ensure that immediate and equitable compensation is given to the investments of nationals or companies of the other Contracting Party having such shares. </w:t>
      </w:r>
    </w:p>
    <w:p w14:paraId="0C5E6DA0"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(6) </w:t>
      </w:r>
    </w:p>
    <w:p w14:paraId="1DA03E70"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u w:val="single"/>
          <w:lang w:val="en-US"/>
        </w:rPr>
        <w:t>Conversion of Investments and Investment Proceedings </w:t>
      </w:r>
    </w:p>
    <w:p w14:paraId="278801B7"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Each of the Contracting Parties shall guarantee the freedom of transfer of their investments and proceeds in accordance with the domestic legislation in force in their respective countries in respect of the investments of nationals or companies of the other Contracting Party and shall make such transfer without delay in the free currency in which the original investment capital Or any other free currency agreed upon between the investors and the Contracting Party concerned.  Unless otherwise agreed by investors, remittances are made at the rates of exchange prevailing on the date of transfer and in accordance with applicable currency conversion regulations. </w:t>
      </w:r>
    </w:p>
    <w:p w14:paraId="27B697B5"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The host party shall guarantee to the investor the freedom to dispose of the ownership of the capital either by sale in whole or in part, by liquidation, by assignment, by gift or by any other means of transfer of ownership. </w:t>
      </w:r>
    </w:p>
    <w:p w14:paraId="22E6C682"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(7) </w:t>
      </w:r>
    </w:p>
    <w:p w14:paraId="0A5A3535"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u w:val="single"/>
        </w:rPr>
        <w:t>Exceptions </w:t>
      </w:r>
    </w:p>
    <w:p w14:paraId="41B7ECC6"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The provisions of this Agreement relating to the granting of a treatment not less favorable than that accorded to nationals or companies of either Contracting Party or of any other Contracting State or nationals shall not be construed as obliging a Contracting Party to grant nationals or companies of the other Party the advantages of any transaction or privilege of: </w:t>
      </w:r>
    </w:p>
    <w:p w14:paraId="48033C7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 An existing or future customs union, a free trade zone, a regional cooperation council or any international agreement that either Contracting Party may become a future party to. </w:t>
      </w:r>
    </w:p>
    <w:p w14:paraId="3F32DD6C"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b. Any international agreement, arrangement or legislation relating wholly or mainly to taxation. </w:t>
      </w:r>
    </w:p>
    <w:p w14:paraId="1D654351"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(8) </w:t>
      </w:r>
    </w:p>
    <w:p w14:paraId="50D42E0D"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u w:val="single"/>
          <w:lang w:val="en-US"/>
        </w:rPr>
        <w:t>Disputes between the Investor and the Host Countries </w:t>
      </w:r>
    </w:p>
    <w:p w14:paraId="76F78854"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Disputes between a citizen or a company of one of the Contracting Parties and the other Contracting Party in respect of an obligation of the other party under the provisions of this Agreement relating to the investment of such person or company that are not settled in friendly manner by the disputing parties, shall be referred to international arbitration, if either of the parties to the dispute so desires, under the rules of arbitration established by the United Nations Commission on International Trade Law 1976 and its applicable amendments or any arbitration rules established by the Commission in lieu of the 1976 Rules and amendments, so that they would not agree to agree to amend these rules in writing. </w:t>
      </w:r>
    </w:p>
    <w:p w14:paraId="1135F608"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(9) </w:t>
      </w:r>
    </w:p>
    <w:p w14:paraId="5E2C3997"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u w:val="single"/>
          <w:lang w:val="en-US"/>
        </w:rPr>
        <w:t>Disputes between the Contracting Parties </w:t>
      </w:r>
    </w:p>
    <w:p w14:paraId="61AA47E5"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Disputes between Contracting Parties concerning the interpretation and application of this Convention should be settled, if possible, through diplomatic channels. </w:t>
      </w:r>
    </w:p>
    <w:p w14:paraId="5C950790"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If the dispute between the Contracting Parties cannot be settled through diplomatic channels, such dispute may be submitted at the request of one Contracting Party to an arbitral tribunal. </w:t>
      </w:r>
    </w:p>
    <w:p w14:paraId="5C500450"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3. The arbitral tribunal shall be composed on a case-by-case basis as follows: </w:t>
      </w:r>
    </w:p>
    <w:p w14:paraId="04C26B9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 Within two months from the date of receipt of the request for arbitration, each Contracting Party shall appoint one member of the arbitral tribunal. These members shall select a national of a third State appointed as Chairman of the Arbitral Tribunal after the approval of the Contracting Parties. The President shall be appointed within two months from the date of appointment of the two members. </w:t>
      </w:r>
    </w:p>
    <w:p w14:paraId="31A59934"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b. If the necessary appointments are not made within the time periods specified in paragraph (a) of this Article and in the absence of any further agreement between the Parties, either Contracting Party may invite the President of the International Court of Justice to make any necessary appointments. If the President of the International Court of Justice is a national of either Contracting Party or if he is unable to carry out the said functions, the Vice-President of the International Court of Justice shall be requested to make the necessary appointments. If the Vice-President is a national of either Contracting Party, or if he is unable to perform the said tasks, the next member of the International Court of Justice who is not a national of either Contracting Party shall be required to make the necessary appointments. </w:t>
      </w:r>
    </w:p>
    <w:p w14:paraId="38F33F93"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sz w:val="28"/>
          <w:szCs w:val="28"/>
          <w:lang w:val="en-US"/>
        </w:rPr>
        <w:t xml:space="preserve">c. The arbitral tribunal shall take its decisions by a majority vote and shall be binding on the Contracting Parties. Each Party shall bear the costs of the member of the arbitral tribunal appointed by it and shall be represented in the deliberations of the arbitral tribunal. The costs of the head of the arbitral tribunal and the remaining costs shall be divided equally between the Contracting Parties. However, the Commission may decide to charge one of the Contracting Parties the largest part of the costs, which shall be binding on the parties. </w:t>
      </w:r>
      <w:r w:rsidRPr="00E90FBD">
        <w:rPr>
          <w:rFonts w:ascii="Arial" w:eastAsia="Times New Roman" w:hAnsi="Arial" w:cs="Arial"/>
          <w:sz w:val="28"/>
          <w:szCs w:val="28"/>
        </w:rPr>
        <w:t>The arbitral tribunal shall determine its own procedures. </w:t>
      </w:r>
    </w:p>
    <w:p w14:paraId="66DAC284"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(10) </w:t>
      </w:r>
    </w:p>
    <w:p w14:paraId="7165332B"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Subrogation by Contracting Parties </w:t>
      </w:r>
    </w:p>
    <w:p w14:paraId="5268E411"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If the Contracting Parties or the organ designated by it makes any payment in respect of an award granted in respect of an investment in the territory of the other Party, the other Contracting Party shall recognize the rights conferred upon the first Contracting Party or its legally designated organ or a legal document to be executed by it, which includes all the rights and claims of the compensated party and recognizes the right of the first party or the organ designated by him to exercise those rights and to implement those claims under his right to perform his citizenship within the limits of the guaranteed party or compensation. </w:t>
      </w:r>
    </w:p>
    <w:p w14:paraId="1D024C4D"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Any payments received by the first Contracting Party or the organ designated by it in currencies not convertible under the rights and claims acquired shall be available for free disposal by the first Contracting Party for the purpose of covering any expenses incurred in the territory of the other Contracting Party. </w:t>
      </w:r>
    </w:p>
    <w:p w14:paraId="7C35DD91"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(11) </w:t>
      </w:r>
    </w:p>
    <w:p w14:paraId="3981FB56"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lang w:val="en-US"/>
        </w:rPr>
        <w:t>Compensation Resulting from Non-compliance  </w:t>
      </w:r>
    </w:p>
    <w:p w14:paraId="4A93EF3A"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u w:val="single"/>
          <w:lang w:val="en-US"/>
        </w:rPr>
        <w:t>with the Guarantees Granted to the Investor </w:t>
      </w:r>
    </w:p>
    <w:p w14:paraId="284D6DDF"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1. The investor shall be entitled to compensation for the damage caused to him by a Contracting Party or one of its general or local authorities or its institutions: </w:t>
      </w:r>
    </w:p>
    <w:p w14:paraId="3D7CC9C5"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a.  Prejudice to any of the rights and guarantees provided to the investor in this Agreement. </w:t>
      </w:r>
    </w:p>
    <w:p w14:paraId="77556886"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b. Breach of any of the international obligations and undertakings imposed on the other Contracting Party or failure to do so, whether intentionally or negligently. </w:t>
      </w:r>
    </w:p>
    <w:p w14:paraId="2297D45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2.  Refrain from implementing an enforceable judgment directly related to the investment. </w:t>
      </w:r>
    </w:p>
    <w:p w14:paraId="35B9EA9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3. The amount of compensation shall be equal to the damage suffered by the investor depending on the type and amount of the damage. </w:t>
      </w:r>
    </w:p>
    <w:p w14:paraId="38698CA8"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4. Compensation shall be monetary if it is not possible to reinvest the investment into a situation prior to the occurrence of the damage. </w:t>
      </w:r>
    </w:p>
    <w:p w14:paraId="4445CECA"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5. The assessment of monetary compensation shall be within three months of the date of the injury and shall be paid within six months from the date of the agreement on the amount of compensation. </w:t>
      </w:r>
    </w:p>
    <w:p w14:paraId="451AF958"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(12) </w:t>
      </w:r>
    </w:p>
    <w:p w14:paraId="36DC7644"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u w:val="single"/>
        </w:rPr>
        <w:t>Scope of Application </w:t>
      </w:r>
    </w:p>
    <w:p w14:paraId="42B1EB9D"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The provisions of this Agreement shall apply to existing investments before and after the entry into force of this Agreement. </w:t>
      </w:r>
    </w:p>
    <w:p w14:paraId="3EA8C8DE"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(13) </w:t>
      </w:r>
    </w:p>
    <w:p w14:paraId="6C2EB686"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u w:val="single"/>
        </w:rPr>
        <w:t>Application of Other Provisions </w:t>
      </w:r>
    </w:p>
    <w:p w14:paraId="571D36A1"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If the provisions of the law applicable in the country of either Contracting Party or the obligations under existing international law or subsequent to the signing of this Convention in addition to the present provisions of the Convention contain provisions whether general or specific Investments made by investors of the other Contracting Party shall be accorded a more favorable treatment than the treatment provided by the present Convention. These provisions shall be applied in lieu of the provisions of the present Convention to the extent of their preferential treatment. </w:t>
      </w:r>
    </w:p>
    <w:p w14:paraId="16C59363"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(14) </w:t>
      </w:r>
    </w:p>
    <w:p w14:paraId="34B3E8B9"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u w:val="single"/>
        </w:rPr>
        <w:t>Entry Into Force </w:t>
      </w:r>
    </w:p>
    <w:p w14:paraId="74F3DE0A"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This Agreement shall enter into force thirty days after the date of notification by each Contracting Party of the other Party of the completion of the constitutional procedures necessary for the entry into force of this Agreement. </w:t>
      </w:r>
    </w:p>
    <w:p w14:paraId="4A9A27DC" w14:textId="77777777" w:rsidR="00E90FBD" w:rsidRPr="00E90FBD" w:rsidRDefault="00E90FBD" w:rsidP="00145FFF">
      <w:pPr>
        <w:spacing w:before="120" w:after="0" w:line="360" w:lineRule="auto"/>
        <w:rPr>
          <w:rFonts w:ascii="Arial" w:eastAsia="Times New Roman" w:hAnsi="Arial" w:cs="Arial"/>
          <w:sz w:val="28"/>
          <w:szCs w:val="28"/>
        </w:rPr>
      </w:pPr>
      <w:r w:rsidRPr="00E90FBD">
        <w:rPr>
          <w:rFonts w:ascii="Arial" w:eastAsia="Times New Roman" w:hAnsi="Arial" w:cs="Arial"/>
          <w:b/>
          <w:bCs/>
          <w:sz w:val="28"/>
          <w:szCs w:val="28"/>
        </w:rPr>
        <w:t>Article (15) </w:t>
      </w:r>
    </w:p>
    <w:p w14:paraId="16F7F11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u w:val="single"/>
          <w:lang w:val="en-US"/>
        </w:rPr>
        <w:t>Duration and Termination of the Convention </w:t>
      </w:r>
    </w:p>
    <w:p w14:paraId="40E82AB0"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This Agreement shall remain in force for a period of ten years and shall remain in force thereafter unless one of the Contracting Parties informs the other in writing and the diplomatic party of its desire to terminate the Agreement one year prior to the expiry date and in respect of the investments which have been suspended. The provisions of the Agreement relating to such investments shall continue for ten years after the date of termination of the Agreement, without prejudice to the right to apply the provisions of general international law. </w:t>
      </w:r>
    </w:p>
    <w:p w14:paraId="25BA720A"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In recognition of the above, the undersigned, duly authorized by their respective Governments, have signed this Convention. </w:t>
      </w:r>
    </w:p>
    <w:p w14:paraId="7CB5A3C6"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sz w:val="28"/>
          <w:szCs w:val="28"/>
          <w:lang w:val="en-US"/>
        </w:rPr>
        <w:t>Done from two originals in the city of Cairo in Arabic on 17/9/1997 corresponding to 15/5/1418 A.H. </w:t>
      </w:r>
    </w:p>
    <w:p w14:paraId="5F58E155" w14:textId="77777777" w:rsidR="00E90FBD" w:rsidRPr="00E90FBD" w:rsidRDefault="00E90FBD" w:rsidP="00145FFF">
      <w:pPr>
        <w:spacing w:before="120" w:after="0" w:line="360" w:lineRule="auto"/>
        <w:rPr>
          <w:rFonts w:ascii="Arial" w:eastAsia="Times New Roman" w:hAnsi="Arial" w:cs="Arial"/>
          <w:b/>
          <w:bCs/>
          <w:sz w:val="28"/>
          <w:szCs w:val="28"/>
          <w:lang w:val="en-US"/>
        </w:rPr>
      </w:pPr>
      <w:r w:rsidRPr="00E90FBD">
        <w:rPr>
          <w:rFonts w:ascii="Arial" w:eastAsia="Times New Roman" w:hAnsi="Arial" w:cs="Arial"/>
          <w:b/>
          <w:bCs/>
          <w:sz w:val="28"/>
          <w:szCs w:val="28"/>
          <w:lang w:val="en-US"/>
        </w:rPr>
        <w:t xml:space="preserve">On behalf of the government </w:t>
      </w:r>
    </w:p>
    <w:p w14:paraId="6FC96433"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lang w:val="en-US"/>
        </w:rPr>
        <w:t>On behalf of the government </w:t>
      </w:r>
    </w:p>
    <w:p w14:paraId="1C15EF11" w14:textId="77777777" w:rsidR="00E90FBD" w:rsidRPr="00E90FBD" w:rsidRDefault="00E90FBD" w:rsidP="00145FFF">
      <w:pPr>
        <w:spacing w:before="120" w:after="0" w:line="360" w:lineRule="auto"/>
        <w:rPr>
          <w:rFonts w:ascii="Arial" w:eastAsia="Times New Roman" w:hAnsi="Arial" w:cs="Arial"/>
          <w:b/>
          <w:bCs/>
          <w:sz w:val="28"/>
          <w:szCs w:val="28"/>
          <w:lang w:val="en-US"/>
        </w:rPr>
      </w:pPr>
      <w:r w:rsidRPr="00E90FBD">
        <w:rPr>
          <w:rFonts w:ascii="Arial" w:eastAsia="Times New Roman" w:hAnsi="Arial" w:cs="Arial"/>
          <w:b/>
          <w:bCs/>
          <w:sz w:val="28"/>
          <w:szCs w:val="28"/>
          <w:lang w:val="en-US"/>
        </w:rPr>
        <w:t xml:space="preserve">The State of Bahrain                                </w:t>
      </w:r>
    </w:p>
    <w:p w14:paraId="10812071"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lang w:val="en-US"/>
        </w:rPr>
        <w:t>The Arab Republic of Egypt </w:t>
      </w:r>
    </w:p>
    <w:p w14:paraId="44C64A8B" w14:textId="77777777" w:rsidR="00E90FBD" w:rsidRPr="00E90FBD" w:rsidRDefault="00E90FBD" w:rsidP="00145FFF">
      <w:pPr>
        <w:spacing w:before="120" w:after="0" w:line="360" w:lineRule="auto"/>
        <w:rPr>
          <w:rFonts w:ascii="Arial" w:eastAsia="Times New Roman" w:hAnsi="Arial" w:cs="Arial"/>
          <w:b/>
          <w:bCs/>
          <w:sz w:val="28"/>
          <w:szCs w:val="28"/>
          <w:lang w:val="en-US"/>
        </w:rPr>
      </w:pPr>
      <w:r w:rsidRPr="00E90FBD">
        <w:rPr>
          <w:rFonts w:ascii="Arial" w:eastAsia="Times New Roman" w:hAnsi="Arial" w:cs="Arial"/>
          <w:b/>
          <w:bCs/>
          <w:sz w:val="28"/>
          <w:szCs w:val="28"/>
          <w:lang w:val="en-US"/>
        </w:rPr>
        <w:t xml:space="preserve">Mr. Ibrahim Abdel Karim                            </w:t>
      </w:r>
    </w:p>
    <w:p w14:paraId="062698E1" w14:textId="77777777" w:rsidR="00E90FBD" w:rsidRPr="00E90FBD" w:rsidRDefault="00E90FBD" w:rsidP="00145FFF">
      <w:pPr>
        <w:spacing w:before="120" w:after="0" w:line="360" w:lineRule="auto"/>
        <w:rPr>
          <w:rFonts w:ascii="Arial" w:eastAsia="Times New Roman" w:hAnsi="Arial" w:cs="Arial"/>
          <w:sz w:val="28"/>
          <w:szCs w:val="28"/>
          <w:lang w:val="en-US"/>
        </w:rPr>
      </w:pPr>
      <w:r w:rsidRPr="00E90FBD">
        <w:rPr>
          <w:rFonts w:ascii="Arial" w:eastAsia="Times New Roman" w:hAnsi="Arial" w:cs="Arial"/>
          <w:b/>
          <w:bCs/>
          <w:sz w:val="28"/>
          <w:szCs w:val="28"/>
          <w:lang w:val="en-US"/>
        </w:rPr>
        <w:t>Mr. Dhafer Al-Bishri </w:t>
      </w:r>
    </w:p>
    <w:p w14:paraId="11C3B62D" w14:textId="77777777" w:rsidR="00E90FBD" w:rsidRPr="00E90FBD" w:rsidRDefault="00E90FBD" w:rsidP="00145FFF">
      <w:pPr>
        <w:spacing w:before="120" w:after="0" w:line="360" w:lineRule="auto"/>
        <w:rPr>
          <w:rFonts w:ascii="Arial" w:eastAsia="Times New Roman" w:hAnsi="Arial" w:cs="Arial"/>
          <w:b/>
          <w:bCs/>
          <w:sz w:val="28"/>
          <w:szCs w:val="28"/>
          <w:lang w:val="en-US"/>
        </w:rPr>
      </w:pPr>
      <w:r w:rsidRPr="00E90FBD">
        <w:rPr>
          <w:rFonts w:ascii="Arial" w:eastAsia="Times New Roman" w:hAnsi="Arial" w:cs="Arial"/>
          <w:b/>
          <w:bCs/>
          <w:sz w:val="28"/>
          <w:szCs w:val="28"/>
          <w:lang w:val="en-US"/>
        </w:rPr>
        <w:t>Minister of Finance and National Economy           </w:t>
      </w:r>
    </w:p>
    <w:p w14:paraId="1C3085EF" w14:textId="77777777" w:rsidR="00E90FBD" w:rsidRPr="00E90FBD" w:rsidRDefault="00E90FBD" w:rsidP="00145FFF">
      <w:pPr>
        <w:spacing w:before="120" w:after="0" w:line="360" w:lineRule="auto"/>
        <w:rPr>
          <w:rFonts w:ascii="Arial" w:eastAsia="Times New Roman" w:hAnsi="Arial" w:cs="Arial"/>
          <w:b/>
          <w:bCs/>
          <w:sz w:val="28"/>
          <w:szCs w:val="28"/>
        </w:rPr>
      </w:pPr>
      <w:r w:rsidRPr="00E90FBD">
        <w:rPr>
          <w:rFonts w:ascii="Arial" w:eastAsia="Times New Roman" w:hAnsi="Arial" w:cs="Arial"/>
          <w:b/>
          <w:bCs/>
          <w:sz w:val="28"/>
          <w:szCs w:val="28"/>
          <w:lang w:val="en-US"/>
        </w:rPr>
        <w:t>Minister of State for Planning and International Cooperation </w:t>
      </w:r>
    </w:p>
    <w:p w14:paraId="0C8EF466" w14:textId="77777777" w:rsidR="00E90FBD" w:rsidRPr="00E90FBD" w:rsidRDefault="00E90FBD" w:rsidP="00145FFF">
      <w:pPr>
        <w:spacing w:before="120" w:after="0" w:line="360" w:lineRule="auto"/>
        <w:rPr>
          <w:rFonts w:ascii="Arial" w:hAnsi="Arial" w:cs="Arial"/>
          <w:sz w:val="28"/>
          <w:szCs w:val="28"/>
        </w:rPr>
      </w:pPr>
    </w:p>
    <w:sectPr w:rsidR="00E90FBD" w:rsidRPr="00E90FBD" w:rsidSect="00C646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FBD"/>
    <w:rsid w:val="000129C5"/>
    <w:rsid w:val="00145FFF"/>
    <w:rsid w:val="00521F4E"/>
    <w:rsid w:val="00815AD9"/>
    <w:rsid w:val="00C6466D"/>
    <w:rsid w:val="00E90F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BCAE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3302</Words>
  <Characters>18827</Characters>
  <Application>Microsoft Office Word</Application>
  <DocSecurity>0</DocSecurity>
  <Lines>156</Lines>
  <Paragraphs>44</Paragraphs>
  <ScaleCrop>false</ScaleCrop>
  <Company/>
  <LinksUpToDate>false</LinksUpToDate>
  <CharactersWithSpaces>22085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