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9F68" w14:textId="77777777" w:rsidR="00D87554" w:rsidRPr="00D87554" w:rsidRDefault="00D87554" w:rsidP="00D87554">
      <w:pPr>
        <w:spacing w:line="360" w:lineRule="auto"/>
        <w:rPr>
          <w:rFonts w:ascii="Arial" w:hAnsi="Arial" w:cs="Arial"/>
          <w:b/>
          <w:bCs/>
          <w:sz w:val="28"/>
          <w:szCs w:val="28"/>
          <w:lang w:val="en-GB"/>
        </w:rPr>
      </w:pPr>
      <w:r w:rsidRPr="00D87554">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BC44653" w14:textId="77777777" w:rsidR="00D87554" w:rsidRPr="00D87554" w:rsidRDefault="00D87554" w:rsidP="00D87554">
      <w:pPr>
        <w:spacing w:line="360" w:lineRule="auto"/>
        <w:rPr>
          <w:rFonts w:ascii="Arial" w:hAnsi="Arial" w:cs="Arial"/>
          <w:b/>
          <w:bCs/>
          <w:sz w:val="28"/>
          <w:szCs w:val="28"/>
          <w:lang w:val="en-GB"/>
        </w:rPr>
      </w:pPr>
      <w:r w:rsidRPr="00D87554">
        <w:rPr>
          <w:rFonts w:ascii="Arial" w:hAnsi="Arial" w:cs="Arial"/>
          <w:b/>
          <w:bCs/>
          <w:sz w:val="28"/>
          <w:szCs w:val="28"/>
          <w:lang w:val="en-GB"/>
        </w:rPr>
        <w:t>For any corrections, remarks, or suggestions, kindly contact us on translate@lloc.gov.bh</w:t>
      </w:r>
    </w:p>
    <w:p w14:paraId="12BA2ECF" w14:textId="53CA9B85" w:rsidR="00D87554" w:rsidRPr="00D87554" w:rsidRDefault="00D87554" w:rsidP="00D87554">
      <w:pPr>
        <w:spacing w:line="360" w:lineRule="auto"/>
        <w:rPr>
          <w:rFonts w:ascii="Arial" w:hAnsi="Arial" w:cs="Arial"/>
          <w:b/>
          <w:bCs/>
          <w:sz w:val="28"/>
          <w:szCs w:val="28"/>
          <w:lang w:val="en-GB"/>
        </w:rPr>
      </w:pPr>
      <w:r w:rsidRPr="00D87554">
        <w:rPr>
          <w:rFonts w:ascii="Arial" w:hAnsi="Arial" w:cs="Arial"/>
          <w:b/>
          <w:bCs/>
          <w:sz w:val="28"/>
          <w:szCs w:val="28"/>
          <w:lang w:val="en-GB"/>
        </w:rPr>
        <w:t>Published on the website on April 2025</w:t>
      </w:r>
      <w:r w:rsidRPr="00D87554">
        <w:rPr>
          <w:rFonts w:ascii="Arial" w:hAnsi="Arial" w:cs="Arial"/>
          <w:b/>
          <w:bCs/>
          <w:sz w:val="28"/>
          <w:szCs w:val="28"/>
          <w:lang w:val="en-GB"/>
        </w:rPr>
        <w:br w:type="page"/>
      </w:r>
    </w:p>
    <w:p w14:paraId="01025E4F" w14:textId="2C3BF1DB" w:rsidR="00312A33" w:rsidRPr="00D87554" w:rsidRDefault="00312A33" w:rsidP="00B17AB1">
      <w:pPr>
        <w:spacing w:line="360" w:lineRule="auto"/>
        <w:jc w:val="center"/>
        <w:rPr>
          <w:rFonts w:ascii="Arial" w:hAnsi="Arial" w:cs="Arial"/>
          <w:b/>
          <w:bCs/>
          <w:sz w:val="28"/>
          <w:szCs w:val="28"/>
          <w:lang w:val="en-GB"/>
        </w:rPr>
      </w:pPr>
      <w:r w:rsidRPr="00D87554">
        <w:rPr>
          <w:rFonts w:ascii="Arial" w:hAnsi="Arial" w:cs="Arial"/>
          <w:b/>
          <w:bCs/>
          <w:sz w:val="28"/>
          <w:szCs w:val="28"/>
          <w:lang w:val="en-GB"/>
        </w:rPr>
        <w:lastRenderedPageBreak/>
        <w:t>Law No. (72) of 2006 regarding the Emblem of the Kingdom of Bahrain</w:t>
      </w:r>
    </w:p>
    <w:p w14:paraId="52E8B0D9"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We, Hamad bin Isa Al Khalifa, King of the Kingdom of Bahrain.</w:t>
      </w:r>
    </w:p>
    <w:p w14:paraId="43D55EDB"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Having reviewed the Constitution, in particular Article (3) thereof;</w:t>
      </w:r>
    </w:p>
    <w:p w14:paraId="6BA4DDAF"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And Legislative Decree No. (4) of 2002 regarding the Flag of the Kingdom of Bahrain,</w:t>
      </w:r>
    </w:p>
    <w:p w14:paraId="2ED97285"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The Shura Council and the Council of Representatives have approved the following law, which we have ratified and enacted:</w:t>
      </w:r>
    </w:p>
    <w:p w14:paraId="670B1A2D"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Article One</w:t>
      </w:r>
    </w:p>
    <w:p w14:paraId="2FF82397"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 xml:space="preserve">The emblem of the Kingdom of Bahrain consists of a drawing of the Kingdom's flag within a shield-shaped frame with three sides, with a top straight base, </w:t>
      </w:r>
      <w:r w:rsidRPr="00D87554">
        <w:rPr>
          <w:rFonts w:ascii="Arial" w:hAnsi="Arial" w:cs="Arial"/>
          <w:sz w:val="28"/>
          <w:szCs w:val="28"/>
        </w:rPr>
        <w:t>containing Arab-style motifs engraved on its sides</w:t>
      </w:r>
      <w:r w:rsidRPr="00D87554">
        <w:rPr>
          <w:rFonts w:ascii="Arial" w:hAnsi="Arial" w:cs="Arial"/>
          <w:sz w:val="28"/>
          <w:szCs w:val="28"/>
          <w:lang w:val="en-GB"/>
        </w:rPr>
        <w:t>, in accordance with the model attached to this Law.</w:t>
      </w:r>
    </w:p>
    <w:p w14:paraId="5D7A1944"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Article Two</w:t>
      </w:r>
    </w:p>
    <w:p w14:paraId="3028357F"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The King of the Kingdom shall have a royal emblem, defined and regulated by a royal decree, which shall particularly specify the emblem’s design and the conditions of its use.</w:t>
      </w:r>
    </w:p>
    <w:p w14:paraId="11992347"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Article Three</w:t>
      </w:r>
    </w:p>
    <w:p w14:paraId="3AEB21FA"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The emblem of the Kingdom shall be used in official documents, records, and publications pertaining to state agencies, public authorities, and institutions.</w:t>
      </w:r>
    </w:p>
    <w:p w14:paraId="69833CB9" w14:textId="77777777" w:rsidR="00312A33" w:rsidRPr="00D87554" w:rsidRDefault="00312A33" w:rsidP="00B17AB1">
      <w:pPr>
        <w:keepNext/>
        <w:spacing w:line="360" w:lineRule="auto"/>
        <w:jc w:val="both"/>
        <w:rPr>
          <w:rFonts w:ascii="Arial" w:hAnsi="Arial" w:cs="Arial"/>
          <w:sz w:val="28"/>
          <w:szCs w:val="28"/>
          <w:lang w:val="en-GB"/>
        </w:rPr>
      </w:pPr>
      <w:r w:rsidRPr="00D87554">
        <w:rPr>
          <w:rFonts w:ascii="Arial" w:hAnsi="Arial" w:cs="Arial"/>
          <w:sz w:val="28"/>
          <w:szCs w:val="28"/>
          <w:lang w:val="en-GB"/>
        </w:rPr>
        <w:lastRenderedPageBreak/>
        <w:t>Article Four</w:t>
      </w:r>
    </w:p>
    <w:p w14:paraId="6ABD7B4B" w14:textId="77777777" w:rsidR="00312A33" w:rsidRPr="00D87554" w:rsidRDefault="00312A33" w:rsidP="00B17AB1">
      <w:pPr>
        <w:keepNext/>
        <w:spacing w:line="360" w:lineRule="auto"/>
        <w:jc w:val="both"/>
        <w:rPr>
          <w:rFonts w:ascii="Arial" w:hAnsi="Arial" w:cs="Arial"/>
          <w:sz w:val="28"/>
          <w:szCs w:val="28"/>
          <w:rtl/>
          <w:lang w:val="en-GB"/>
        </w:rPr>
      </w:pPr>
      <w:r w:rsidRPr="00D87554">
        <w:rPr>
          <w:rFonts w:ascii="Arial" w:hAnsi="Arial" w:cs="Arial"/>
          <w:sz w:val="28"/>
          <w:szCs w:val="28"/>
          <w:lang w:val="en-GB"/>
        </w:rPr>
        <w:t>The use of the Kingdom's emblem for commercial and industrial purposes is prohibited. It may not be used on signs, advertisements, or other unofficial papers except by royal order.</w:t>
      </w:r>
    </w:p>
    <w:p w14:paraId="022FD048"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Article Five</w:t>
      </w:r>
    </w:p>
    <w:p w14:paraId="7F55FA12"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rPr>
        <w:t>Without prejudice to any more severe penalty stipulated by the Penal Code or any other law, anyone who uses the emblem of the Kingdom in violation of this Law shall be punished by imprisonment for a term not exceeding one month, a fine not exceeding one hundred dinars, or by one of these penalties shall be imposed.</w:t>
      </w:r>
    </w:p>
    <w:p w14:paraId="20679348"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The same penalty shall apply to anyone who uses the royal emblem contrary to the regulations governing this emblem.</w:t>
      </w:r>
    </w:p>
    <w:p w14:paraId="4089FC9C"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Article Six</w:t>
      </w:r>
    </w:p>
    <w:p w14:paraId="08ACC325"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The Prime Minister and the Ministers—each within their jurisdiction—shall implement this Law, and it shall come into force as of the first of the month following the date of its publication in the Official Gazette.</w:t>
      </w:r>
    </w:p>
    <w:p w14:paraId="66C70714"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King of the Kingdom of Bahrain</w:t>
      </w:r>
    </w:p>
    <w:p w14:paraId="7C6783A5"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Hamad bin Isa Al Khalifa</w:t>
      </w:r>
    </w:p>
    <w:p w14:paraId="2A325B09"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Issued at Riffa Palace:</w:t>
      </w:r>
    </w:p>
    <w:p w14:paraId="68DB391D"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On:</w:t>
      </w:r>
    </w:p>
    <w:p w14:paraId="3D2B0D5D"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23 Ramadan 1427 AH</w:t>
      </w:r>
    </w:p>
    <w:p w14:paraId="37AC7DFB"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t>Corresponding to:</w:t>
      </w:r>
    </w:p>
    <w:p w14:paraId="6F69CDD0" w14:textId="77777777" w:rsidR="00312A33" w:rsidRPr="00D87554" w:rsidRDefault="00312A33" w:rsidP="00D87554">
      <w:pPr>
        <w:spacing w:line="360" w:lineRule="auto"/>
        <w:jc w:val="both"/>
        <w:rPr>
          <w:rFonts w:ascii="Arial" w:hAnsi="Arial" w:cs="Arial"/>
          <w:sz w:val="28"/>
          <w:szCs w:val="28"/>
          <w:lang w:val="en-GB"/>
        </w:rPr>
      </w:pPr>
      <w:r w:rsidRPr="00D87554">
        <w:rPr>
          <w:rFonts w:ascii="Arial" w:hAnsi="Arial" w:cs="Arial"/>
          <w:sz w:val="28"/>
          <w:szCs w:val="28"/>
          <w:lang w:val="en-GB"/>
        </w:rPr>
        <w:lastRenderedPageBreak/>
        <w:t>15 October 2006</w:t>
      </w:r>
    </w:p>
    <w:p w14:paraId="31F319BD" w14:textId="77777777" w:rsidR="00213BDA" w:rsidRPr="00D87554" w:rsidRDefault="00213BDA" w:rsidP="00D87554">
      <w:pPr>
        <w:spacing w:line="360" w:lineRule="auto"/>
        <w:rPr>
          <w:rFonts w:ascii="Arial" w:hAnsi="Arial" w:cs="Arial"/>
          <w:sz w:val="28"/>
          <w:szCs w:val="28"/>
        </w:rPr>
      </w:pPr>
    </w:p>
    <w:sectPr w:rsidR="00213BDA" w:rsidRPr="00D87554" w:rsidSect="00D875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2C3" w14:textId="77777777" w:rsidR="00D439E2" w:rsidRDefault="00D439E2" w:rsidP="007A3723">
      <w:pPr>
        <w:spacing w:after="0" w:line="240" w:lineRule="auto"/>
      </w:pPr>
      <w:r>
        <w:separator/>
      </w:r>
    </w:p>
  </w:endnote>
  <w:endnote w:type="continuationSeparator" w:id="0">
    <w:p w14:paraId="12FCD58B" w14:textId="77777777" w:rsidR="00D439E2" w:rsidRDefault="00D439E2" w:rsidP="007A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A8CF" w14:textId="77777777" w:rsidR="007A3723" w:rsidRDefault="007A3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AB3C" w14:textId="77777777" w:rsidR="007A3723" w:rsidRDefault="007A3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5152" w14:textId="77777777" w:rsidR="007A3723" w:rsidRDefault="007A3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4C88" w14:textId="77777777" w:rsidR="00D439E2" w:rsidRDefault="00D439E2" w:rsidP="007A3723">
      <w:pPr>
        <w:spacing w:after="0" w:line="240" w:lineRule="auto"/>
      </w:pPr>
      <w:r>
        <w:separator/>
      </w:r>
    </w:p>
  </w:footnote>
  <w:footnote w:type="continuationSeparator" w:id="0">
    <w:p w14:paraId="23C580CB" w14:textId="77777777" w:rsidR="00D439E2" w:rsidRDefault="00D439E2" w:rsidP="007A3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0696" w14:textId="77777777" w:rsidR="007A3723" w:rsidRDefault="007A3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A11F" w14:textId="7EC4324D" w:rsidR="007A3723" w:rsidRDefault="007A3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A94E" w14:textId="77777777" w:rsidR="007A3723" w:rsidRDefault="007A37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09"/>
    <w:rsid w:val="000012E9"/>
    <w:rsid w:val="00180B28"/>
    <w:rsid w:val="00213BDA"/>
    <w:rsid w:val="00253E85"/>
    <w:rsid w:val="002F2E84"/>
    <w:rsid w:val="00312A33"/>
    <w:rsid w:val="0043297E"/>
    <w:rsid w:val="004738E6"/>
    <w:rsid w:val="006E3E8B"/>
    <w:rsid w:val="00736BE2"/>
    <w:rsid w:val="007A3723"/>
    <w:rsid w:val="00866A86"/>
    <w:rsid w:val="00986B09"/>
    <w:rsid w:val="00A04A1E"/>
    <w:rsid w:val="00A81CA4"/>
    <w:rsid w:val="00AA05B3"/>
    <w:rsid w:val="00B17AB1"/>
    <w:rsid w:val="00C47F70"/>
    <w:rsid w:val="00CB5DD1"/>
    <w:rsid w:val="00D335A0"/>
    <w:rsid w:val="00D439E2"/>
    <w:rsid w:val="00D87554"/>
    <w:rsid w:val="00EB0333"/>
    <w:rsid w:val="00F277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A80D1"/>
  <w15:docId w15:val="{52945B0B-76F1-40D7-A886-97BABFD5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7A3723"/>
    <w:pPr>
      <w:spacing w:after="0" w:line="240" w:lineRule="auto"/>
    </w:pPr>
  </w:style>
  <w:style w:type="paragraph" w:styleId="Header">
    <w:name w:val="header"/>
    <w:basedOn w:val="Normal"/>
    <w:link w:val="HeaderChar"/>
    <w:uiPriority w:val="99"/>
    <w:unhideWhenUsed/>
    <w:rsid w:val="007A3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723"/>
  </w:style>
  <w:style w:type="paragraph" w:styleId="Footer">
    <w:name w:val="footer"/>
    <w:basedOn w:val="Normal"/>
    <w:link w:val="FooterChar"/>
    <w:uiPriority w:val="99"/>
    <w:unhideWhenUsed/>
    <w:rsid w:val="007A3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723"/>
  </w:style>
  <w:style w:type="character" w:styleId="CommentReference">
    <w:name w:val="annotation reference"/>
    <w:basedOn w:val="DefaultParagraphFont"/>
    <w:uiPriority w:val="99"/>
    <w:semiHidden/>
    <w:unhideWhenUsed/>
    <w:rsid w:val="00D335A0"/>
    <w:rPr>
      <w:sz w:val="16"/>
      <w:szCs w:val="16"/>
    </w:rPr>
  </w:style>
  <w:style w:type="paragraph" w:styleId="CommentText">
    <w:name w:val="annotation text"/>
    <w:basedOn w:val="Normal"/>
    <w:link w:val="CommentTextChar"/>
    <w:uiPriority w:val="99"/>
    <w:semiHidden/>
    <w:unhideWhenUsed/>
    <w:rsid w:val="00D335A0"/>
    <w:pPr>
      <w:spacing w:line="240" w:lineRule="auto"/>
    </w:pPr>
    <w:rPr>
      <w:sz w:val="20"/>
      <w:szCs w:val="20"/>
    </w:rPr>
  </w:style>
  <w:style w:type="character" w:customStyle="1" w:styleId="CommentTextChar">
    <w:name w:val="Comment Text Char"/>
    <w:basedOn w:val="DefaultParagraphFont"/>
    <w:link w:val="CommentText"/>
    <w:uiPriority w:val="99"/>
    <w:semiHidden/>
    <w:rsid w:val="00D335A0"/>
    <w:rPr>
      <w:sz w:val="20"/>
      <w:szCs w:val="20"/>
    </w:rPr>
  </w:style>
  <w:style w:type="paragraph" w:styleId="CommentSubject">
    <w:name w:val="annotation subject"/>
    <w:basedOn w:val="CommentText"/>
    <w:next w:val="CommentText"/>
    <w:link w:val="CommentSubjectChar"/>
    <w:uiPriority w:val="99"/>
    <w:semiHidden/>
    <w:unhideWhenUsed/>
    <w:rsid w:val="00D335A0"/>
    <w:rPr>
      <w:b/>
      <w:bCs/>
    </w:rPr>
  </w:style>
  <w:style w:type="character" w:customStyle="1" w:styleId="CommentSubjectChar">
    <w:name w:val="Comment Subject Char"/>
    <w:basedOn w:val="CommentTextChar"/>
    <w:link w:val="CommentSubject"/>
    <w:uiPriority w:val="99"/>
    <w:semiHidden/>
    <w:rsid w:val="00D335A0"/>
    <w:rPr>
      <w:b/>
      <w:bCs/>
      <w:sz w:val="20"/>
      <w:szCs w:val="20"/>
    </w:rPr>
  </w:style>
  <w:style w:type="paragraph" w:styleId="BalloonText">
    <w:name w:val="Balloon Text"/>
    <w:basedOn w:val="Normal"/>
    <w:link w:val="BalloonTextChar"/>
    <w:uiPriority w:val="99"/>
    <w:semiHidden/>
    <w:unhideWhenUsed/>
    <w:rsid w:val="00D33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66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2b0262fb-dc1a-4cee-ae25-8a432ffe3efd_1" sourcehash="-2049720034" targethash="1484602303"/>
  <segment id="e1f65824-69ec-41e5-814a-795fd83accf5_2" sourcehash="891971302" targethash="891971302"/>
  <segment id="4b0db8c3-0016-411e-abbf-e580d2d054d8_3" sourcehash="2071184231" targethash="824411315"/>
  <segment id="c8083291-8451-4fa1-ba31-ad789c9b8368_4" sourcehash="1599731013" targethash="718570505"/>
  <segment id="71aa28ac-4236-40c9-91ff-d408ba3c8dc5_5" sourcehash="1379908869" targethash="2070730111"/>
  <segment id="08cff90f-70a8-4f4d-a125-565ac4101bc7_6" sourcehash="1961995222" targethash="785327122"/>
  <segment id="13aea779-a763-484e-b86e-97300195a53f_7" sourcehash="-387415961" targethash="-424184001"/>
  <segment id="bbab832e-7a22-4736-8fe3-86bc1f9ea6e8_8" sourcehash="2088303885" targethash="1484644214"/>
  <segment id="da8eb2ef-bf68-4efe-96b7-716dd2ccd0b5_9" sourcehash="-396592359" targethash="-1885243674"/>
  <segment id="8801eebc-201c-4ec0-819d-e71742c83fab_10" sourcehash="-66830131" targethash="-105901832"/>
  <segment id="e3eb43a5-5764-4420-ad8a-09b0d306b5c0_11" sourcehash="-562247775" targethash="-48865072"/>
  <segment id="9d22a8fb-1992-4f57-8658-69ac2c06b521_12" sourcehash="-1461946088" targethash="-474260566"/>
  <segment id="b3cedf5a-e15b-4ba0-9f26-c196e0dac348_13" sourcehash="-601472527" targethash="-522005953"/>
  <segment id="1504def7-ed9d-4453-8cf7-bb0d636086d9_14" sourcehash="-1463004758" targethash="-331670493"/>
  <segment id="399a252a-6607-48d8-8053-f506873d9844_15" sourcehash="-188082335" targethash="-1407948136"/>
  <segment id="5f981b2c-4240-4552-8ef0-f0a7d7f816e6_16" sourcehash="8388828" targethash="-1207101631"/>
  <segment id="ca422f5f-17fc-4f25-aa77-88040be6ca01_17" sourcehash="1344326455" targethash="-1510661458"/>
  <segment id="f5f73d0e-a474-4277-92c8-0d62748bef1c_18" sourcehash="2057191193" targethash="505389333"/>
  <segment id="4d583836-af5e-4906-92a1-78901e0f3592_19" sourcehash="1417244391" targethash="-936273710"/>
  <segment id="2980b05e-bce5-4374-8ce9-55fc60c39144_20" sourcehash="-1215045800" targethash="-728057922"/>
  <segment id="ae942dd8-3b88-4ef1-b103-c8ff81495244_21" sourcehash="508663189" targethash="-585183515"/>
  <segment id="ab1784df-87a6-4848-9811-067011fa5419_22" sourcehash="-1979528530" targethash="1371785629"/>
  <segment id="083c2a47-2807-44d6-ab88-2e9fb99cb819_23" sourcehash="572086446" targethash="-1991076004"/>
  <segment id="083c2a47-2807-44d6-ab88-2e9fb99cb819_24" sourcehash="2044236749" targethash="460112319"/>
  <segment id="4f710d57-4c14-465f-b9be-7e08bc5fd8ad_25" sourcehash="712395928" targethash="2114763677"/>
  <segment id="4f710d57-4c14-465f-b9be-7e08bc5fd8ad_26" sourcehash="-364081585" targethash="-505838066"/>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6</cp:revision>
  <dcterms:created xsi:type="dcterms:W3CDTF">2025-03-09T08:19:00Z</dcterms:created>
  <dcterms:modified xsi:type="dcterms:W3CDTF">2025-05-08T06:22:00Z</dcterms:modified>
</cp:coreProperties>
</file>