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4F61D" w14:textId="77777777" w:rsidR="002F263E" w:rsidRDefault="002F263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02AAFC6" w14:textId="77777777" w:rsidR="002F263E" w:rsidRDefault="002F263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2D0E438" w14:textId="20A5FFBF" w:rsidR="002F263E" w:rsidRDefault="002F263E">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39CC5FC6" w14:textId="399A4D0B" w:rsidR="004B6076" w:rsidRPr="004B6076" w:rsidRDefault="004B6076" w:rsidP="0077173A">
      <w:pPr>
        <w:spacing w:before="120" w:after="0" w:line="360" w:lineRule="auto"/>
        <w:jc w:val="center"/>
        <w:rPr>
          <w:rFonts w:ascii="Arial" w:eastAsia="Times New Roman" w:hAnsi="Arial" w:cs="Arial"/>
          <w:sz w:val="28"/>
          <w:szCs w:val="28"/>
          <w:lang w:val="en-GB"/>
        </w:rPr>
      </w:pPr>
      <w:r w:rsidRPr="004B6076">
        <w:rPr>
          <w:rFonts w:ascii="Arial" w:eastAsia="Times New Roman" w:hAnsi="Arial" w:cs="Arial"/>
          <w:b/>
          <w:bCs/>
          <w:sz w:val="28"/>
          <w:szCs w:val="28"/>
          <w:lang w:val="en-GB"/>
        </w:rPr>
        <w:lastRenderedPageBreak/>
        <w:t>Law No. (46) of 2014 amending certain provisions of the Law regulating Pensions and Bonus for Officers and Personnel of the Bahrain Defence Force and Public Security Forces, promulgated by Legislative Decree No. (11) of 1976</w:t>
      </w:r>
    </w:p>
    <w:p w14:paraId="70830A90"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We, Hamad bin Isa Al Khalifa, King of the Kingdom of Bahrain. </w:t>
      </w:r>
    </w:p>
    <w:p w14:paraId="6E393C22"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Having reviewed the Constitution; </w:t>
      </w:r>
    </w:p>
    <w:p w14:paraId="24C4CE14"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Law regulating Pensions and Bonus for Officers and Personnel of the Bahrain Defence Force and Public Security Forces, promulgated by Legislative Decree No. (11) of 1976, as amended, </w:t>
      </w:r>
    </w:p>
    <w:p w14:paraId="2D229422"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Public Security Forces Law promulgated by Legislative Decree No. (3) of 1982, as amended; </w:t>
      </w:r>
    </w:p>
    <w:p w14:paraId="22999F0A"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Legislative Decree No. (6) of 1991 regarding the establishment of a Pension Fund for Bahraini and Non-Bahraini Officers and Personnel at the Bahrain Defence Force and Public Security Forces, </w:t>
      </w:r>
    </w:p>
    <w:p w14:paraId="7A770F6E"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National Guard Law promulgated by Legislative Decree No.</w:t>
      </w:r>
      <w:r w:rsidRPr="004B6076">
        <w:rPr>
          <w:rFonts w:ascii="Arial" w:eastAsia="Times New Roman" w:hAnsi="Arial" w:cs="Arial"/>
          <w:sz w:val="28"/>
          <w:szCs w:val="28"/>
          <w:lang w:val="en-US"/>
        </w:rPr>
        <w:t xml:space="preserve"> </w:t>
      </w:r>
      <w:r w:rsidRPr="004B6076">
        <w:rPr>
          <w:rFonts w:ascii="Arial" w:eastAsia="Times New Roman" w:hAnsi="Arial" w:cs="Arial"/>
          <w:sz w:val="28"/>
          <w:szCs w:val="28"/>
          <w:lang w:val="en-GB"/>
        </w:rPr>
        <w:t>(20) of 2000, as amended by Legislative Decree No. (38) of 2002;</w:t>
      </w:r>
    </w:p>
    <w:p w14:paraId="4497F622"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Law of Bahrain Defence Force, promulgated by Legislative Decree No. (32) of 2002; </w:t>
      </w:r>
    </w:p>
    <w:p w14:paraId="14CA43E8"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Law No. (58) of 2006 regarding the Protection of Society from Terrorist Acts, amended by Legislative Decree No. (20) of 2013; </w:t>
      </w:r>
    </w:p>
    <w:p w14:paraId="2E9BCEAF"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Legislative Decree No. (47) of 2010 regarding the management and competencies of the Pension Fund for Bahraini and Non-Bahraini Officers and Personnel at the Bahrain Defence Force and Public Security Forces, established by Legislative Decree No. (6) of 1991; </w:t>
      </w:r>
    </w:p>
    <w:p w14:paraId="2A54DA48"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And the Decree No. (14) of 2002 establishing the National Security Agency, </w:t>
      </w:r>
    </w:p>
    <w:p w14:paraId="1446B34E"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Shura Council and the Council of Representatives have approved the following law, which we have ratified and enacted: </w:t>
      </w:r>
    </w:p>
    <w:p w14:paraId="7759852F"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One </w:t>
      </w:r>
    </w:p>
    <w:p w14:paraId="405751B6"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definitions of "military operations" and "martyr" referred to in the provisions of Article (1), the texts of Article (18) paragraphs one and four and Article (21) of the Law regulating Pensions and Bonus for Officers and Personnel of the Bahrain Defence Force and Public Security Forces, promulgated by Legislative Decree No. (11) of 1976, are replaced by the following texts: </w:t>
      </w:r>
    </w:p>
    <w:p w14:paraId="70E693D9"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(1) </w:t>
      </w:r>
    </w:p>
    <w:p w14:paraId="58C2D8C7"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Definition of "Military Operations" and "Martyr": </w:t>
      </w:r>
    </w:p>
    <w:p w14:paraId="46032854"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Military Operations: Armed clash with the enemy or any other armed groups and the resulting of martyrdom, loss or capture, as well as in the other cases deemed by the Commander-in-Chief of the Defence Force of Bahrain, the Minister of Interior, the Chief of the National Guard or the Head of the National Security Agency - each within his jurisdiction - to be at the level of military operations. </w:t>
      </w:r>
    </w:p>
    <w:p w14:paraId="022EF6C9"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Martyr: The officer or individual who is martyred as a result of being injured in military operations, during a clash with the enemy or with any armed or unarmed groups, as result of terrorist acts inside or outside the Kingdom of Bahrain while carrying out his duties or due to performing his job duties. </w:t>
      </w:r>
    </w:p>
    <w:p w14:paraId="5EBE2F72"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(18) first paragraph: </w:t>
      </w:r>
    </w:p>
    <w:p w14:paraId="412F0B9F"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beneficiaries of the martyr are entitled to a pension equal to the maximum salary of the rank above his own. </w:t>
      </w:r>
    </w:p>
    <w:p w14:paraId="44DDB01F"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(18) Forth paragraph: </w:t>
      </w:r>
    </w:p>
    <w:p w14:paraId="07BA7B8B"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A one-instalment compensation equal to the maximum salary of the rank above his own shall be paid to the beneficiaries of the martyr or those considered as martyrs, for a period of three years. The provisions of the last Paragraph of Article (21) shall apply to this compensation. </w:t>
      </w:r>
    </w:p>
    <w:p w14:paraId="182234A7"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(21) </w:t>
      </w:r>
    </w:p>
    <w:p w14:paraId="734AA423"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If an officer or individual is killed while carrying out his work or as a result of performing his job duties or job, his beneficiaries are entitled to a monthly pension equivalent to the basic salary of the last month, regardless of the duration of his service. </w:t>
      </w:r>
    </w:p>
    <w:p w14:paraId="1187B8C5"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In addition to the pension, the beneficiaries shall be paid a cash compensation equal to the officer or individual’s salary and monthly allowances on the basis of which the pension was calculated for a full year. </w:t>
      </w:r>
    </w:p>
    <w:p w14:paraId="1EC82054"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compensation shall be distributed among the beneficiaries according to their share in the pension, referred to in the table of pension distribution to the beneficiaries, attached to this Law. </w:t>
      </w:r>
    </w:p>
    <w:p w14:paraId="7E8D0A48"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If none of them exists, the compensation shall be distributed to the heirs in accordance with Sharia ordainment. Otherwise, the remaining compensation shall go to the Military Retirement Fund. </w:t>
      </w:r>
    </w:p>
    <w:p w14:paraId="03D06F36"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Two </w:t>
      </w:r>
    </w:p>
    <w:p w14:paraId="6E471240"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Every text which contradicts the provisions of this law shall be repealed. </w:t>
      </w:r>
    </w:p>
    <w:p w14:paraId="379424D3"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Three </w:t>
      </w:r>
    </w:p>
    <w:p w14:paraId="49558AFE"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Commander-in-Chief of the Bahrain Defence Force, the Minister of Interior, the Chief of the National Guard and the Head of the National Security Agency shall issue the necessary decisions to implement the provisions of this law. </w:t>
      </w:r>
    </w:p>
    <w:p w14:paraId="71C21207"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Article Four </w:t>
      </w:r>
    </w:p>
    <w:p w14:paraId="3D3A9BFE"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The Prime Minister, the Commander-in-Chief of the Defence Force, the Ministers and those concerned - each within his jurisdiction - shall implement the provisions of this Law and it shall come into force from the first day of the following month after its publication in the Official Gazette. </w:t>
      </w:r>
    </w:p>
    <w:p w14:paraId="0C7F2616"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King of the Kingdom of Bahrain </w:t>
      </w:r>
    </w:p>
    <w:p w14:paraId="04E4C00F"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b/>
          <w:bCs/>
          <w:sz w:val="28"/>
          <w:szCs w:val="28"/>
          <w:lang w:val="en-GB"/>
        </w:rPr>
        <w:t>Hamad bin Isa Al Khalifa, </w:t>
      </w:r>
    </w:p>
    <w:p w14:paraId="56A8BD6A"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Issued at Riffa Palace: </w:t>
      </w:r>
    </w:p>
    <w:p w14:paraId="22776DAA"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On: 8 Dhu Al-Qi'dah 1435 A.H. </w:t>
      </w:r>
    </w:p>
    <w:p w14:paraId="5AB6EAA6" w14:textId="77777777" w:rsidR="004B6076" w:rsidRPr="004B6076" w:rsidRDefault="004B6076" w:rsidP="0077173A">
      <w:pPr>
        <w:spacing w:before="120" w:after="0" w:line="360" w:lineRule="auto"/>
        <w:rPr>
          <w:rFonts w:ascii="Arial" w:eastAsia="Times New Roman" w:hAnsi="Arial" w:cs="Arial"/>
          <w:sz w:val="28"/>
          <w:szCs w:val="28"/>
          <w:lang w:val="en-GB"/>
        </w:rPr>
      </w:pPr>
      <w:r w:rsidRPr="004B6076">
        <w:rPr>
          <w:rFonts w:ascii="Arial" w:eastAsia="Times New Roman" w:hAnsi="Arial" w:cs="Arial"/>
          <w:sz w:val="28"/>
          <w:szCs w:val="28"/>
          <w:lang w:val="en-GB"/>
        </w:rPr>
        <w:t>Corresponding to: 3 September 2014 </w:t>
      </w:r>
    </w:p>
    <w:p w14:paraId="3654BE9E" w14:textId="77777777" w:rsidR="004B6076" w:rsidRPr="004B6076" w:rsidRDefault="004B6076" w:rsidP="0077173A">
      <w:pPr>
        <w:spacing w:before="120" w:after="0" w:line="360" w:lineRule="auto"/>
        <w:rPr>
          <w:rFonts w:ascii="Arial" w:eastAsia="Times New Roman" w:hAnsi="Arial" w:cs="Arial"/>
          <w:b/>
          <w:bCs/>
          <w:sz w:val="28"/>
          <w:szCs w:val="28"/>
        </w:rPr>
      </w:pPr>
    </w:p>
    <w:p w14:paraId="6C2184D8" w14:textId="77777777" w:rsidR="004B6076" w:rsidRPr="004B6076" w:rsidRDefault="004B6076" w:rsidP="0077173A">
      <w:pPr>
        <w:spacing w:before="120" w:after="0" w:line="360" w:lineRule="auto"/>
        <w:rPr>
          <w:rFonts w:ascii="Arial" w:hAnsi="Arial" w:cs="Arial"/>
          <w:sz w:val="28"/>
          <w:szCs w:val="28"/>
        </w:rPr>
      </w:pPr>
    </w:p>
    <w:sectPr w:rsidR="004B6076" w:rsidRPr="004B6076" w:rsidSect="001A7C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6E867" w14:textId="77777777" w:rsidR="00665C1F" w:rsidRDefault="00665C1F">
      <w:pPr>
        <w:spacing w:after="0" w:line="240" w:lineRule="auto"/>
      </w:pPr>
      <w:r>
        <w:separator/>
      </w:r>
    </w:p>
  </w:endnote>
  <w:endnote w:type="continuationSeparator" w:id="0">
    <w:p w14:paraId="316F85E2" w14:textId="77777777" w:rsidR="00665C1F" w:rsidRDefault="0066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E68D3" w14:textId="77777777" w:rsidR="00665C1F" w:rsidRDefault="00665C1F">
      <w:pPr>
        <w:spacing w:after="0" w:line="240" w:lineRule="auto"/>
      </w:pPr>
      <w:r>
        <w:separator/>
      </w:r>
    </w:p>
  </w:footnote>
  <w:footnote w:type="continuationSeparator" w:id="0">
    <w:p w14:paraId="58418CD9" w14:textId="77777777" w:rsidR="00665C1F" w:rsidRDefault="00665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04"/>
    <w:rsid w:val="000129C5"/>
    <w:rsid w:val="001A7C38"/>
    <w:rsid w:val="002F263E"/>
    <w:rsid w:val="00480E04"/>
    <w:rsid w:val="004A431F"/>
    <w:rsid w:val="004B6076"/>
    <w:rsid w:val="00521F4E"/>
    <w:rsid w:val="00665C1F"/>
    <w:rsid w:val="0077173A"/>
    <w:rsid w:val="00815AD9"/>
    <w:rsid w:val="008B53BB"/>
    <w:rsid w:val="00A331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FC6B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463F6-0B70-4005-AE1B-9B0EFF49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2024-05-14T09:18:00Z</dcterms:created>
  <dcterms:modified xsi:type="dcterms:W3CDTF">2024-05-20T20:28:00Z</dcterms:modified>
</cp:coreProperties>
</file>