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DA2A4" w14:textId="77777777" w:rsidR="00B8121B" w:rsidRPr="00B8121B" w:rsidRDefault="00B8121B" w:rsidP="00B8121B">
      <w:pPr>
        <w:spacing w:line="360" w:lineRule="auto"/>
        <w:rPr>
          <w:rFonts w:ascii="Arial" w:hAnsi="Arial" w:cs="Arial"/>
          <w:b/>
          <w:bCs/>
          <w:noProof/>
          <w:sz w:val="28"/>
          <w:szCs w:val="28"/>
          <w:lang w:val="en-GB"/>
        </w:rPr>
      </w:pPr>
      <w:r w:rsidRPr="00B8121B">
        <w:rPr>
          <w:rFonts w:ascii="Arial" w:hAnsi="Arial" w:cs="Arial"/>
          <w:b/>
          <w:bCs/>
          <w:noProof/>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312AF2B" w14:textId="77777777" w:rsidR="00B8121B" w:rsidRPr="00B8121B" w:rsidRDefault="00B8121B" w:rsidP="00B8121B">
      <w:pPr>
        <w:spacing w:line="360" w:lineRule="auto"/>
        <w:rPr>
          <w:rFonts w:ascii="Arial" w:hAnsi="Arial" w:cs="Arial"/>
          <w:b/>
          <w:bCs/>
          <w:noProof/>
          <w:sz w:val="28"/>
          <w:szCs w:val="28"/>
          <w:lang w:val="en-GB"/>
        </w:rPr>
      </w:pPr>
      <w:r w:rsidRPr="00B8121B">
        <w:rPr>
          <w:rFonts w:ascii="Arial" w:hAnsi="Arial" w:cs="Arial"/>
          <w:b/>
          <w:bCs/>
          <w:noProof/>
          <w:sz w:val="28"/>
          <w:szCs w:val="28"/>
          <w:lang w:val="en-GB"/>
        </w:rPr>
        <w:t>For any corrections, remarks, or suggestions, kindly contact us on translate@lloc.gov.bh</w:t>
      </w:r>
    </w:p>
    <w:p w14:paraId="6D936BC4" w14:textId="5ED6DF95" w:rsidR="00B8121B" w:rsidRPr="00B8121B" w:rsidRDefault="00B8121B" w:rsidP="00B8121B">
      <w:pPr>
        <w:spacing w:line="360" w:lineRule="auto"/>
        <w:rPr>
          <w:rFonts w:ascii="Arial" w:hAnsi="Arial" w:cs="Arial"/>
          <w:b/>
          <w:bCs/>
          <w:noProof/>
          <w:sz w:val="28"/>
          <w:szCs w:val="28"/>
          <w:rtl/>
          <w:lang w:val="en-GB"/>
        </w:rPr>
      </w:pPr>
      <w:r w:rsidRPr="00B8121B">
        <w:rPr>
          <w:rFonts w:ascii="Arial" w:hAnsi="Arial" w:cs="Arial"/>
          <w:b/>
          <w:bCs/>
          <w:noProof/>
          <w:sz w:val="28"/>
          <w:szCs w:val="28"/>
          <w:lang w:val="en-GB"/>
        </w:rPr>
        <w:t>Published on the website on April 2025</w:t>
      </w:r>
      <w:r w:rsidRPr="00B8121B">
        <w:rPr>
          <w:rFonts w:ascii="Arial" w:hAnsi="Arial" w:cs="Arial"/>
          <w:b/>
          <w:bCs/>
          <w:noProof/>
          <w:sz w:val="28"/>
          <w:szCs w:val="28"/>
          <w:rtl/>
          <w:lang w:val="en-GB"/>
        </w:rPr>
        <w:br w:type="page"/>
      </w:r>
    </w:p>
    <w:p w14:paraId="1ECC54EE" w14:textId="77777777" w:rsidR="00C7177F" w:rsidRPr="00B8121B" w:rsidRDefault="00C7177F" w:rsidP="00F55B30">
      <w:pPr>
        <w:spacing w:line="360" w:lineRule="auto"/>
        <w:jc w:val="center"/>
        <w:rPr>
          <w:rFonts w:ascii="Arial" w:hAnsi="Arial" w:cs="Arial"/>
          <w:b/>
          <w:bCs/>
          <w:sz w:val="28"/>
          <w:szCs w:val="28"/>
          <w:lang w:val="en-GB"/>
        </w:rPr>
      </w:pPr>
      <w:r w:rsidRPr="00B8121B">
        <w:rPr>
          <w:rFonts w:ascii="Arial" w:hAnsi="Arial" w:cs="Arial"/>
          <w:b/>
          <w:bCs/>
          <w:sz w:val="28"/>
          <w:szCs w:val="28"/>
          <w:lang w:val="en-GB"/>
        </w:rPr>
        <w:lastRenderedPageBreak/>
        <w:t>Law No. (37) of 2006 Amending Certain Provisions of Legislative Decree No. (3) of 2002 regarding the System for Electing Members of Municipal Councils</w:t>
      </w:r>
    </w:p>
    <w:p w14:paraId="1FE2F5F2"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We, Hamad bin Isa Al Khalifa, King of the Kingdom of Bahrain.</w:t>
      </w:r>
    </w:p>
    <w:p w14:paraId="61020354"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Having reviewed the Constitution,</w:t>
      </w:r>
    </w:p>
    <w:p w14:paraId="2546931F"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And the Municipalities Law promulgated by Legislative Decree No. (35) of 2001,</w:t>
      </w:r>
    </w:p>
    <w:p w14:paraId="1F86CB6E"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Legislative Decree No. (3) of 2002 regarding the System of Electing Members of Municipal Councils, amended by Legislative Decree No. (6) of 2002</w:t>
      </w:r>
      <w:proofErr w:type="gramStart"/>
      <w:r w:rsidRPr="00B8121B">
        <w:rPr>
          <w:rFonts w:ascii="Arial" w:hAnsi="Arial" w:cs="Arial"/>
          <w:sz w:val="28"/>
          <w:szCs w:val="28"/>
          <w:lang w:val="en-GB"/>
        </w:rPr>
        <w:t>, in particular, Article</w:t>
      </w:r>
      <w:proofErr w:type="gramEnd"/>
      <w:r w:rsidRPr="00B8121B">
        <w:rPr>
          <w:rFonts w:ascii="Arial" w:hAnsi="Arial" w:cs="Arial"/>
          <w:sz w:val="28"/>
          <w:szCs w:val="28"/>
          <w:lang w:val="en-GB"/>
        </w:rPr>
        <w:t xml:space="preserve"> Five thereof,</w:t>
      </w:r>
    </w:p>
    <w:p w14:paraId="1136F329"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 xml:space="preserve">And Legislative Decree No. (14) of 2002 regarding the Exercise of Political Rights, as amended, </w:t>
      </w:r>
      <w:proofErr w:type="gramStart"/>
      <w:r w:rsidRPr="00B8121B">
        <w:rPr>
          <w:rFonts w:ascii="Arial" w:hAnsi="Arial" w:cs="Arial"/>
          <w:sz w:val="28"/>
          <w:szCs w:val="28"/>
          <w:lang w:val="en-GB"/>
        </w:rPr>
        <w:t>in particular Article</w:t>
      </w:r>
      <w:proofErr w:type="gramEnd"/>
      <w:r w:rsidRPr="00B8121B">
        <w:rPr>
          <w:rFonts w:ascii="Arial" w:hAnsi="Arial" w:cs="Arial"/>
          <w:sz w:val="28"/>
          <w:szCs w:val="28"/>
          <w:lang w:val="en-GB"/>
        </w:rPr>
        <w:t xml:space="preserve"> Seventeen thereof,</w:t>
      </w:r>
    </w:p>
    <w:p w14:paraId="041B2837"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The Shura Council and the Council of Representatives have approved the following Law, which we have ratified and enacted:</w:t>
      </w:r>
    </w:p>
    <w:p w14:paraId="20E281ED"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Article One</w:t>
      </w:r>
    </w:p>
    <w:p w14:paraId="2C9F2090"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The text of Clause (1) of Article Two, the text of Article Five, and the text of Article Four of Legislative Decree No. (3) of 2002 regarding the System for Electing Members of Municipal Councils shall be replaced with the following texts:</w:t>
      </w:r>
    </w:p>
    <w:p w14:paraId="6FB10861"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Article (First Paragraph):</w:t>
      </w:r>
    </w:p>
    <w:p w14:paraId="759B69CC"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 xml:space="preserve">The individual must </w:t>
      </w:r>
      <w:proofErr w:type="gramStart"/>
      <w:r w:rsidRPr="00B8121B">
        <w:rPr>
          <w:rFonts w:ascii="Arial" w:hAnsi="Arial" w:cs="Arial"/>
          <w:sz w:val="28"/>
          <w:szCs w:val="28"/>
          <w:lang w:val="en-GB"/>
        </w:rPr>
        <w:t xml:space="preserve">be </w:t>
      </w:r>
      <w:r w:rsidRPr="00B8121B">
        <w:rPr>
          <w:rFonts w:ascii="Arial" w:hAnsi="Arial" w:cs="Arial"/>
          <w:sz w:val="28"/>
          <w:szCs w:val="28"/>
        </w:rPr>
        <w:t>have</w:t>
      </w:r>
      <w:proofErr w:type="gramEnd"/>
      <w:r w:rsidRPr="00B8121B">
        <w:rPr>
          <w:rFonts w:ascii="Arial" w:hAnsi="Arial" w:cs="Arial"/>
          <w:sz w:val="28"/>
          <w:szCs w:val="28"/>
        </w:rPr>
        <w:t xml:space="preserve"> attained the full age of twenty Gregorian years by the day of the election.</w:t>
      </w:r>
    </w:p>
    <w:p w14:paraId="66369AFD"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lastRenderedPageBreak/>
        <w:t>Article Five:</w:t>
      </w:r>
    </w:p>
    <w:p w14:paraId="57E4BAB1" w14:textId="77777777" w:rsidR="00C7177F" w:rsidRPr="00B8121B" w:rsidRDefault="00C7177F" w:rsidP="00B8121B">
      <w:pPr>
        <w:spacing w:line="360" w:lineRule="auto"/>
        <w:jc w:val="both"/>
        <w:rPr>
          <w:rFonts w:ascii="Arial" w:hAnsi="Arial" w:cs="Arial"/>
          <w:sz w:val="28"/>
          <w:szCs w:val="28"/>
          <w:lang w:val="en-GB"/>
        </w:rPr>
      </w:pPr>
      <w:proofErr w:type="gramStart"/>
      <w:r w:rsidRPr="00B8121B">
        <w:rPr>
          <w:rFonts w:ascii="Arial" w:hAnsi="Arial" w:cs="Arial"/>
          <w:sz w:val="28"/>
          <w:szCs w:val="28"/>
        </w:rPr>
        <w:t>Taking into account</w:t>
      </w:r>
      <w:proofErr w:type="gramEnd"/>
      <w:r w:rsidRPr="00B8121B">
        <w:rPr>
          <w:rFonts w:ascii="Arial" w:hAnsi="Arial" w:cs="Arial"/>
          <w:sz w:val="28"/>
          <w:szCs w:val="28"/>
        </w:rPr>
        <w:t xml:space="preserve"> the provisions of Legislative Decree No. (14) of 2002 regarding the Exercise of Political Rights and the royal decrees issued pursuant to its provisions, the Kingdom of Bahrain shall, for the purposes of this Law, be divided into </w:t>
      </w:r>
      <w:proofErr w:type="gramStart"/>
      <w:r w:rsidRPr="00B8121B">
        <w:rPr>
          <w:rFonts w:ascii="Arial" w:hAnsi="Arial" w:cs="Arial"/>
          <w:sz w:val="28"/>
          <w:szCs w:val="28"/>
        </w:rPr>
        <w:t>a number of</w:t>
      </w:r>
      <w:proofErr w:type="gramEnd"/>
      <w:r w:rsidRPr="00B8121B">
        <w:rPr>
          <w:rFonts w:ascii="Arial" w:hAnsi="Arial" w:cs="Arial"/>
          <w:sz w:val="28"/>
          <w:szCs w:val="28"/>
        </w:rPr>
        <w:t xml:space="preserve"> electoral municipal areas. Each governorate shall constitute an electoral municipal area, comprising several electoral districts, with one member elected from each electoral district.</w:t>
      </w:r>
    </w:p>
    <w:p w14:paraId="7CDB0FE2"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rPr>
        <w:t>A decision shall be issued by the Prime Minister specifying the electoral districts and their boundaries, provided that their number is not less than forty districts. The decision shall also specify the number of sub-committees required to conduct the voting and counting processes.</w:t>
      </w:r>
    </w:p>
    <w:p w14:paraId="7AFD4D68"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Article Two</w:t>
      </w:r>
    </w:p>
    <w:p w14:paraId="628F75CE"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The Prime Minister and the Ministers—each within their jurisdiction—shall implement this Law, and it shall come into force from the day following the date of its publication in the Official Gazette.</w:t>
      </w:r>
    </w:p>
    <w:p w14:paraId="34A756C0"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King of the Kingdom of Bahrain</w:t>
      </w:r>
    </w:p>
    <w:p w14:paraId="12B7C158"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Hamad bin Isa Al Khalifa</w:t>
      </w:r>
    </w:p>
    <w:p w14:paraId="2E810C49"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Issued at Riffa Palace:</w:t>
      </w:r>
    </w:p>
    <w:p w14:paraId="27C112A7"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On:</w:t>
      </w:r>
    </w:p>
    <w:p w14:paraId="34F56B1B"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5 Rajab 1427 AH</w:t>
      </w:r>
    </w:p>
    <w:p w14:paraId="461ACDDD" w14:textId="77777777" w:rsidR="00C7177F" w:rsidRPr="00B8121B" w:rsidRDefault="00C7177F" w:rsidP="00B8121B">
      <w:pPr>
        <w:spacing w:line="360" w:lineRule="auto"/>
        <w:jc w:val="both"/>
        <w:rPr>
          <w:rFonts w:ascii="Arial" w:hAnsi="Arial" w:cs="Arial"/>
          <w:sz w:val="28"/>
          <w:szCs w:val="28"/>
          <w:lang w:val="en-GB"/>
        </w:rPr>
      </w:pPr>
      <w:r w:rsidRPr="00B8121B">
        <w:rPr>
          <w:rFonts w:ascii="Arial" w:hAnsi="Arial" w:cs="Arial"/>
          <w:sz w:val="28"/>
          <w:szCs w:val="28"/>
          <w:lang w:val="en-GB"/>
        </w:rPr>
        <w:t>Corresponding to:</w:t>
      </w:r>
    </w:p>
    <w:p w14:paraId="1F4B905D" w14:textId="7AB19B68" w:rsidR="004D069F" w:rsidRPr="00B8121B" w:rsidRDefault="00C7177F" w:rsidP="00F55B30">
      <w:pPr>
        <w:spacing w:line="360" w:lineRule="auto"/>
        <w:jc w:val="both"/>
        <w:rPr>
          <w:rFonts w:ascii="Arial" w:hAnsi="Arial" w:cs="Arial"/>
          <w:sz w:val="28"/>
          <w:szCs w:val="28"/>
        </w:rPr>
      </w:pPr>
      <w:r w:rsidRPr="00B8121B">
        <w:rPr>
          <w:rFonts w:ascii="Arial" w:hAnsi="Arial" w:cs="Arial"/>
          <w:sz w:val="28"/>
          <w:szCs w:val="28"/>
          <w:lang w:val="en-GB"/>
        </w:rPr>
        <w:t>30 July 2006</w:t>
      </w:r>
    </w:p>
    <w:sectPr w:rsidR="004D069F" w:rsidRPr="00B8121B" w:rsidSect="00B8121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798FD" w14:textId="77777777" w:rsidR="00D046AC" w:rsidRDefault="00D046AC" w:rsidP="00142F90">
      <w:pPr>
        <w:spacing w:after="0" w:line="240" w:lineRule="auto"/>
      </w:pPr>
      <w:r>
        <w:separator/>
      </w:r>
    </w:p>
  </w:endnote>
  <w:endnote w:type="continuationSeparator" w:id="0">
    <w:p w14:paraId="2E3D4B06" w14:textId="77777777" w:rsidR="00D046AC" w:rsidRDefault="00D046AC" w:rsidP="00142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E58C9" w14:textId="77777777" w:rsidR="00142F90" w:rsidRDefault="00142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5E1DF" w14:textId="77777777" w:rsidR="00142F90" w:rsidRDefault="00142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84EB4" w14:textId="77777777" w:rsidR="00142F90" w:rsidRDefault="00142F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EFF9F" w14:textId="77777777" w:rsidR="00D046AC" w:rsidRDefault="00D046AC" w:rsidP="00142F90">
      <w:pPr>
        <w:spacing w:after="0" w:line="240" w:lineRule="auto"/>
      </w:pPr>
      <w:r>
        <w:separator/>
      </w:r>
    </w:p>
  </w:footnote>
  <w:footnote w:type="continuationSeparator" w:id="0">
    <w:p w14:paraId="6926BA96" w14:textId="77777777" w:rsidR="00D046AC" w:rsidRDefault="00D046AC" w:rsidP="00142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94691" w14:textId="77777777" w:rsidR="00142F90" w:rsidRDefault="00142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6F33C" w14:textId="14AA025D" w:rsidR="00142F90" w:rsidRDefault="00142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1DF19" w14:textId="77777777" w:rsidR="00142F90" w:rsidRDefault="00142F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8E"/>
    <w:rsid w:val="00084D87"/>
    <w:rsid w:val="000B4A8E"/>
    <w:rsid w:val="00142F90"/>
    <w:rsid w:val="00242590"/>
    <w:rsid w:val="00284533"/>
    <w:rsid w:val="002D5D58"/>
    <w:rsid w:val="0038133C"/>
    <w:rsid w:val="0043297E"/>
    <w:rsid w:val="004D069F"/>
    <w:rsid w:val="006D03F5"/>
    <w:rsid w:val="00707030"/>
    <w:rsid w:val="00736BE2"/>
    <w:rsid w:val="00817B5D"/>
    <w:rsid w:val="00831F6F"/>
    <w:rsid w:val="00846652"/>
    <w:rsid w:val="00855A0C"/>
    <w:rsid w:val="009D1564"/>
    <w:rsid w:val="00B8121B"/>
    <w:rsid w:val="00C7177F"/>
    <w:rsid w:val="00C930DD"/>
    <w:rsid w:val="00CB5DD1"/>
    <w:rsid w:val="00D046AC"/>
    <w:rsid w:val="00F55B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7C80"/>
  <w15:docId w15:val="{7CE0A90C-E1ED-4797-ABFB-B919C641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142F90"/>
    <w:pPr>
      <w:spacing w:after="0" w:line="240" w:lineRule="auto"/>
    </w:pPr>
  </w:style>
  <w:style w:type="paragraph" w:styleId="Header">
    <w:name w:val="header"/>
    <w:basedOn w:val="Normal"/>
    <w:link w:val="HeaderChar"/>
    <w:uiPriority w:val="99"/>
    <w:unhideWhenUsed/>
    <w:rsid w:val="00142F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2F90"/>
  </w:style>
  <w:style w:type="paragraph" w:styleId="Footer">
    <w:name w:val="footer"/>
    <w:basedOn w:val="Normal"/>
    <w:link w:val="FooterChar"/>
    <w:uiPriority w:val="99"/>
    <w:unhideWhenUsed/>
    <w:rsid w:val="00142F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2F90"/>
  </w:style>
  <w:style w:type="character" w:styleId="CommentReference">
    <w:name w:val="annotation reference"/>
    <w:basedOn w:val="DefaultParagraphFont"/>
    <w:uiPriority w:val="99"/>
    <w:semiHidden/>
    <w:unhideWhenUsed/>
    <w:rsid w:val="0038133C"/>
    <w:rPr>
      <w:sz w:val="16"/>
      <w:szCs w:val="16"/>
    </w:rPr>
  </w:style>
  <w:style w:type="paragraph" w:styleId="CommentText">
    <w:name w:val="annotation text"/>
    <w:basedOn w:val="Normal"/>
    <w:link w:val="CommentTextChar"/>
    <w:uiPriority w:val="99"/>
    <w:semiHidden/>
    <w:unhideWhenUsed/>
    <w:rsid w:val="0038133C"/>
    <w:pPr>
      <w:spacing w:line="240" w:lineRule="auto"/>
    </w:pPr>
    <w:rPr>
      <w:sz w:val="20"/>
      <w:szCs w:val="20"/>
    </w:rPr>
  </w:style>
  <w:style w:type="character" w:customStyle="1" w:styleId="CommentTextChar">
    <w:name w:val="Comment Text Char"/>
    <w:basedOn w:val="DefaultParagraphFont"/>
    <w:link w:val="CommentText"/>
    <w:uiPriority w:val="99"/>
    <w:semiHidden/>
    <w:rsid w:val="0038133C"/>
    <w:rPr>
      <w:sz w:val="20"/>
      <w:szCs w:val="20"/>
    </w:rPr>
  </w:style>
  <w:style w:type="paragraph" w:styleId="CommentSubject">
    <w:name w:val="annotation subject"/>
    <w:basedOn w:val="CommentText"/>
    <w:next w:val="CommentText"/>
    <w:link w:val="CommentSubjectChar"/>
    <w:uiPriority w:val="99"/>
    <w:semiHidden/>
    <w:unhideWhenUsed/>
    <w:rsid w:val="0038133C"/>
    <w:rPr>
      <w:b/>
      <w:bCs/>
    </w:rPr>
  </w:style>
  <w:style w:type="character" w:customStyle="1" w:styleId="CommentSubjectChar">
    <w:name w:val="Comment Subject Char"/>
    <w:basedOn w:val="CommentTextChar"/>
    <w:link w:val="CommentSubject"/>
    <w:uiPriority w:val="99"/>
    <w:semiHidden/>
    <w:rsid w:val="0038133C"/>
    <w:rPr>
      <w:b/>
      <w:bCs/>
      <w:sz w:val="20"/>
      <w:szCs w:val="20"/>
    </w:rPr>
  </w:style>
  <w:style w:type="paragraph" w:styleId="BalloonText">
    <w:name w:val="Balloon Text"/>
    <w:basedOn w:val="Normal"/>
    <w:link w:val="BalloonTextChar"/>
    <w:uiPriority w:val="99"/>
    <w:semiHidden/>
    <w:unhideWhenUsed/>
    <w:rsid w:val="00381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c8bc2f4e-86ed-4fac-a1a6-0a61ee7ea113_1" sourcehash="-745371501" targethash="477081598"/>
  <segment id="311e80ca-ee20-4c3a-94db-95f983d7cd85_2" sourcehash="891971302" targethash="891971302"/>
  <segment id="4d6ef55d-55a7-46b7-b482-96bcd96b7371_3" sourcehash="891971301" targethash="891971301"/>
  <segment id="a43929f7-2315-46f7-bba3-def3e32100e5_4" sourcehash="-1088485053" targethash="554248539"/>
  <segment id="6db1651c-19fc-43fd-a560-3136e0ae64dd_5" sourcehash="-985332863" targethash="2051179395"/>
  <segment id="c12588d5-c10d-4744-bc18-5784510f4c1c_6" sourcehash="584725847" targethash="465245677"/>
  <segment id="dd79e555-bb46-447d-b2bf-46a10ba432ca_7" sourcehash="-477124735" targethash="-1799784413"/>
  <segment id="0dce310c-7dec-4b3a-bdfb-2491c803c7ef_8" sourcehash="1014428103" targethash="-1136844682"/>
  <segment id="4d92015b-0f83-40c8-92e9-7cc42cf544be_9" sourcehash="1961995211" targethash="785327119"/>
  <segment id="229e7da8-2351-4329-a096-8e880e7ebfe0_10" sourcehash="-392658848" targethash="-423135432"/>
  <segment id="0f3f6372-55cc-4989-9101-18db971a3046_11" sourcehash="1299297142" targethash="-1067989138"/>
  <segment id="a00ed88d-3221-4a10-a44b-58bf2f4e4b52_12" sourcehash="-77841930" targethash="1402575732"/>
  <segment id="1e0312fa-2bb5-408e-9a4d-cf0cf6f06313_13" sourcehash="1188812704" targethash="506258753"/>
  <segment id="9f99f778-3424-48a1-9a66-d68a2b71d1a9_14" sourcehash="708243439" targethash="2058215578"/>
  <segment id="a948bf41-ce44-4931-a3f2-3c251669539b_15" sourcehash="-1436360937" targethash="250685843"/>
  <segment id="df005710-3481-447a-80d0-fd39c02be397_16" sourcehash="-217490678" targethash="-2042528605"/>
  <segment id="8665f7e1-6737-47b6-a88e-3d4bfc2dc9c0_17" sourcehash="1168983871" targethash="575687360"/>
  <segment id="d2611b53-c1d4-4df5-997e-c1db1a6e57ac_18" sourcehash="1876889369" targethash="1417726405"/>
  <segment id="03700909-d6b4-4d81-8058-647f8e4350ae_19" sourcehash="-1209475239" targethash="-723404865"/>
  <segment id="dda67d93-1596-40fa-8b3d-d9139a331ee6_20" sourcehash="508728725" targethash="-585249051"/>
  <segment id="8a2b219c-332d-4e7b-8724-2f294014c274_21" sourcehash="-1979462994" targethash="1371720093"/>
  <segment id="cb039c16-ded1-4968-b62f-19330c0506a8_22" sourcehash="-735393375" targethash="2137065043"/>
  <segment id="cb039c16-ded1-4968-b62f-19330c0506a8_23" sourcehash="-1151535277" targethash="-105716286"/>
  <segment id="636c0ba8-0887-4522-a851-cd3f9cbab9b4_24" sourcehash="2081574032" targethash="677952405"/>
  <segment id="636c0ba8-0887-4522-a851-cd3f9cbab9b4_25" sourcehash="-525841292" targethash="1310706003"/>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5</cp:revision>
  <dcterms:created xsi:type="dcterms:W3CDTF">2025-03-09T06:52:00Z</dcterms:created>
  <dcterms:modified xsi:type="dcterms:W3CDTF">2025-05-08T05:59:00Z</dcterms:modified>
</cp:coreProperties>
</file>