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81EC" w14:textId="77777777" w:rsidR="0072193E" w:rsidRPr="0072193E" w:rsidRDefault="0072193E" w:rsidP="0072193E">
      <w:pPr>
        <w:spacing w:line="360" w:lineRule="auto"/>
        <w:rPr>
          <w:rFonts w:ascii="Arial" w:hAnsi="Arial" w:cs="Arial"/>
          <w:b/>
          <w:bCs/>
          <w:sz w:val="28"/>
          <w:szCs w:val="28"/>
          <w:lang w:val="en-GB"/>
        </w:rPr>
      </w:pPr>
      <w:r w:rsidRPr="0072193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F2B9053" w14:textId="77777777" w:rsidR="0072193E" w:rsidRPr="0072193E" w:rsidRDefault="0072193E" w:rsidP="0072193E">
      <w:pPr>
        <w:spacing w:line="360" w:lineRule="auto"/>
        <w:rPr>
          <w:rFonts w:ascii="Arial" w:hAnsi="Arial" w:cs="Arial"/>
          <w:b/>
          <w:bCs/>
          <w:sz w:val="28"/>
          <w:szCs w:val="28"/>
          <w:lang w:val="en-GB"/>
        </w:rPr>
      </w:pPr>
      <w:r w:rsidRPr="0072193E">
        <w:rPr>
          <w:rFonts w:ascii="Arial" w:hAnsi="Arial" w:cs="Arial"/>
          <w:b/>
          <w:bCs/>
          <w:sz w:val="28"/>
          <w:szCs w:val="28"/>
          <w:lang w:val="en-GB"/>
        </w:rPr>
        <w:t>For any corrections, remarks, or suggestions, kindly contact us on translate@lloc.gov.bh</w:t>
      </w:r>
    </w:p>
    <w:p w14:paraId="0ACF8B63" w14:textId="554CA215" w:rsidR="0072193E" w:rsidRPr="0072193E" w:rsidRDefault="0072193E" w:rsidP="0072193E">
      <w:pPr>
        <w:spacing w:line="360" w:lineRule="auto"/>
        <w:rPr>
          <w:rFonts w:ascii="Arial" w:hAnsi="Arial" w:cs="Arial"/>
          <w:b/>
          <w:bCs/>
          <w:sz w:val="28"/>
          <w:szCs w:val="28"/>
          <w:lang w:val="en-GB"/>
        </w:rPr>
      </w:pPr>
      <w:r w:rsidRPr="0072193E">
        <w:rPr>
          <w:rFonts w:ascii="Arial" w:hAnsi="Arial" w:cs="Arial"/>
          <w:b/>
          <w:bCs/>
          <w:sz w:val="28"/>
          <w:szCs w:val="28"/>
          <w:lang w:val="en-GB"/>
        </w:rPr>
        <w:t>Published on the website on April 2025</w:t>
      </w:r>
      <w:r w:rsidRPr="0072193E">
        <w:rPr>
          <w:rFonts w:ascii="Arial" w:hAnsi="Arial" w:cs="Arial"/>
          <w:b/>
          <w:bCs/>
          <w:sz w:val="28"/>
          <w:szCs w:val="28"/>
          <w:lang w:val="en-GB"/>
        </w:rPr>
        <w:br w:type="page"/>
      </w:r>
    </w:p>
    <w:p w14:paraId="2CBCD1C6" w14:textId="55D94241" w:rsidR="007D4476" w:rsidRPr="0072193E" w:rsidRDefault="007D4476" w:rsidP="00823439">
      <w:pPr>
        <w:spacing w:line="360" w:lineRule="auto"/>
        <w:jc w:val="center"/>
        <w:rPr>
          <w:rFonts w:ascii="Arial" w:hAnsi="Arial" w:cs="Arial"/>
          <w:b/>
          <w:bCs/>
          <w:sz w:val="28"/>
          <w:szCs w:val="28"/>
          <w:lang w:val="en-GB"/>
        </w:rPr>
      </w:pPr>
      <w:r w:rsidRPr="0072193E">
        <w:rPr>
          <w:rFonts w:ascii="Arial" w:hAnsi="Arial" w:cs="Arial"/>
          <w:b/>
          <w:bCs/>
          <w:sz w:val="28"/>
          <w:szCs w:val="28"/>
          <w:lang w:val="en-GB"/>
        </w:rPr>
        <w:lastRenderedPageBreak/>
        <w:t>Law No. (30) of 2010 Amending Certain Provisions of the Social Insurance Law, promulgated by Legislative Decree No. (24) of 1976</w:t>
      </w:r>
    </w:p>
    <w:p w14:paraId="62C87324" w14:textId="78E6B67B"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We, Hamad bin Isa Al Khalifa</w:t>
      </w:r>
      <w:r w:rsidR="00823439">
        <w:rPr>
          <w:rFonts w:ascii="Arial" w:hAnsi="Arial" w:cs="Arial"/>
          <w:sz w:val="28"/>
          <w:szCs w:val="28"/>
          <w:lang w:val="en-GB"/>
        </w:rPr>
        <w:t xml:space="preserve">, </w:t>
      </w:r>
      <w:r w:rsidRPr="0072193E">
        <w:rPr>
          <w:rFonts w:ascii="Arial" w:hAnsi="Arial" w:cs="Arial"/>
          <w:sz w:val="28"/>
          <w:szCs w:val="28"/>
          <w:lang w:val="en-GB"/>
        </w:rPr>
        <w:t>King of the Kingdom of Bahrain.</w:t>
      </w:r>
    </w:p>
    <w:p w14:paraId="3EF62098"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Having reviewed the Constitution,</w:t>
      </w:r>
    </w:p>
    <w:p w14:paraId="034D2C02"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The Social Insurance Law promulgated by Legislative Decree No. (24) of 1976, as amended,</w:t>
      </w:r>
    </w:p>
    <w:p w14:paraId="429DF276"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And Law No. (3) of 2008 regarding the Social Insurance Organisation,</w:t>
      </w:r>
    </w:p>
    <w:p w14:paraId="406B7961"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The Shura Council and the Council of Representatives have approved the following Law, which we have ratified and enacted:</w:t>
      </w:r>
    </w:p>
    <w:p w14:paraId="761C46EA"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Article One</w:t>
      </w:r>
    </w:p>
    <w:p w14:paraId="35D9868E"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The texts of Articles (34) and (136) of the Social Insurance Law promulgated by Legislative Decree No. (24) of 1976 shall be replaced with the following texts:</w:t>
      </w:r>
    </w:p>
    <w:p w14:paraId="750BBFB0"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Article (34):</w:t>
      </w:r>
    </w:p>
    <w:p w14:paraId="5EC5B56D"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(The insured individual shall be entitled to an old-age pension from the Organisation in accordance with their periods of insurance contributions, whether continuous or interrupted, or periods added to the insurance contribution in the following cases:</w:t>
      </w:r>
    </w:p>
    <w:p w14:paraId="61CE056A"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1- T</w:t>
      </w:r>
      <w:r w:rsidRPr="0072193E">
        <w:rPr>
          <w:rFonts w:ascii="Arial" w:hAnsi="Arial" w:cs="Arial"/>
          <w:sz w:val="28"/>
          <w:szCs w:val="28"/>
        </w:rPr>
        <w:t>ermination of service before the insured individual reaches the age of sixty years</w:t>
      </w:r>
      <w:r w:rsidRPr="0072193E">
        <w:rPr>
          <w:rFonts w:ascii="Arial" w:hAnsi="Arial" w:cs="Arial"/>
          <w:sz w:val="28"/>
          <w:szCs w:val="28"/>
          <w:lang w:val="en-GB"/>
        </w:rPr>
        <w:t>, provided that their period of insurance contributions is at least 240 months, or before the insured female reaches the age of fifty-five years, provided that her period of insurance contributions is at least 180 months.</w:t>
      </w:r>
    </w:p>
    <w:p w14:paraId="37B2A626"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lastRenderedPageBreak/>
        <w:t xml:space="preserve">The pension due in this case shall be reduced by a percentage determined according to the age of the insured individual at the date of the pension application, in accordance with Table No. (1) attached. </w:t>
      </w:r>
    </w:p>
    <w:p w14:paraId="5B9CD632"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The pension shall be payable from the Organisation in this case from the beginning date indicated in the aforementioned table, which determines the reduction percentage of the pension, or from the day following the termination of service, whichever is applicable.</w:t>
      </w:r>
    </w:p>
    <w:p w14:paraId="2AD22690"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The reduction percentages mentioned in paragraph two of this item shall not apply in cases where the insured individual or their beneficiaries request the pension due to proven disability or death.</w:t>
      </w:r>
    </w:p>
    <w:p w14:paraId="5B1E3974"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2- Termination of service before the insured individual reaches the age of sixty years or older or the insured female reaching the age of fifty-five years or older, provided that the period of insurance contributions for either is at least 120 months.</w:t>
      </w:r>
    </w:p>
    <w:p w14:paraId="318EFA7F"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3- Termination of service before the insured individual reaches the age of sixty years or the insured female reaching the age of fifty-five years, without either having the required insurance contributions specified in Clause (1) of this text:</w:t>
      </w:r>
    </w:p>
    <w:p w14:paraId="552CAE6E"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Either of them may request the payment of the old-age pension upon reaching the specified age, instead of the lump-sum compensation stipulated in Article (38) of this Law, provided that the period of insurance contributions is at least 120 months.</w:t>
      </w:r>
    </w:p>
    <w:p w14:paraId="2E2C9910"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 xml:space="preserve">In the event of the death of the insured individual or the insured female before reaching the specified age, a pension shall be paid to the beneficiaries, </w:t>
      </w:r>
      <w:r w:rsidRPr="0072193E">
        <w:rPr>
          <w:rFonts w:ascii="Arial" w:hAnsi="Arial" w:cs="Arial"/>
          <w:sz w:val="28"/>
          <w:szCs w:val="28"/>
          <w:lang w:val="en-GB"/>
        </w:rPr>
        <w:lastRenderedPageBreak/>
        <w:t>provided that the period of insurance contributions is at least 120 months, unless they are entitled to a pension in accordance with Article (37) of this Law.</w:t>
      </w:r>
    </w:p>
    <w:p w14:paraId="7FF8D240"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rPr>
        <w:t>The pension shall be payable in this case from the day following the insured individual's attainment of sixty years of age, the insured female’s attainment of fifty-five years of age, or the day following their death.</w:t>
      </w:r>
    </w:p>
    <w:p w14:paraId="07A6E07B"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The periods during which the insured individual receives daily allowances due to temporary incapacity to work as a result of a work injury shall be included in the insurance contribution periods in the three preceding Clauses.</w:t>
      </w:r>
    </w:p>
    <w:p w14:paraId="27FE92A5"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Article (136):</w:t>
      </w:r>
    </w:p>
    <w:p w14:paraId="6C4C941D"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(Taking into account the provisions of Articles (39, 40, 41, and 42) of this Law, if a recipient of an old-age pension or a non-occupational disability pension, in accordance with the provisions of this Law, returns to engage in paid work subject to this Law and earns a wage, they shall be entitled to receive both their pension and the actual wage from that work; provided that the total does not exceed the average wage on the basis of which the pension was calculated. If the total exceeds this amount, the excess shall be deducted from the pension for the entire duration of its receipt.</w:t>
      </w:r>
    </w:p>
    <w:p w14:paraId="50DB0403"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 xml:space="preserve">If, as a result of the pensioner's return to work after retirement, the payment of their pension is suspended—either fully or partially—by an amount equivalent to or exceeding the pension for five years and their service is terminated for any reason other than a work-related injury, and their average wage for the subsequent period is greater than their average wage for the initial period, their pension for the initial period shall be recalculated based </w:t>
      </w:r>
      <w:r w:rsidRPr="0072193E">
        <w:rPr>
          <w:rFonts w:ascii="Arial" w:hAnsi="Arial" w:cs="Arial"/>
          <w:sz w:val="28"/>
          <w:szCs w:val="28"/>
          <w:lang w:val="en-GB"/>
        </w:rPr>
        <w:lastRenderedPageBreak/>
        <w:t>on the average wage for the subsequent period, applying the reduction percentage prescribed for the pension at the time of retirement prior to their return to work.</w:t>
      </w:r>
    </w:p>
    <w:p w14:paraId="7D35BB15"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The pension for the last period of insurance contributions shall be calculated in accordance with Article (39) of this Law, and they shall receive the total of both pensions, taking into account the provisions set forth in Article (41) of this Law when calculating the pension for the last period.</w:t>
      </w:r>
    </w:p>
    <w:p w14:paraId="11570639"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 xml:space="preserve">If the suspension period of the pension is less than the equivalent of </w:t>
      </w:r>
      <w:r w:rsidRPr="0072193E">
        <w:rPr>
          <w:rFonts w:ascii="Arial" w:hAnsi="Arial" w:cs="Arial"/>
          <w:sz w:val="28"/>
          <w:szCs w:val="28"/>
        </w:rPr>
        <w:t>a five-year pension</w:t>
      </w:r>
      <w:r w:rsidRPr="0072193E">
        <w:rPr>
          <w:rFonts w:ascii="Arial" w:hAnsi="Arial" w:cs="Arial"/>
          <w:sz w:val="28"/>
          <w:szCs w:val="28"/>
          <w:lang w:val="en-GB"/>
        </w:rPr>
        <w:t>, the pension for the last period of insurance contributions shall be calculated in accordance with Article (39) of this Law and added to the previous pension, unless the termination of service was due to non-occupational disability or death, and the calculation of the pension for the last period in accordance with Article (41) of this Law is more advantageous for the insured individual or their beneficiaries.</w:t>
      </w:r>
    </w:p>
    <w:p w14:paraId="52967A45"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The insured individual may complete fractional years by purchasing them in accordance with Table No. (4) attached;</w:t>
      </w:r>
      <w:r w:rsidRPr="0072193E">
        <w:rPr>
          <w:rStyle w:val="CommentReference"/>
          <w:rFonts w:ascii="Arial" w:hAnsi="Arial" w:cs="Arial"/>
          <w:sz w:val="28"/>
          <w:szCs w:val="28"/>
        </w:rPr>
        <w:t xml:space="preserve"> </w:t>
      </w:r>
      <w:r w:rsidRPr="0072193E">
        <w:rPr>
          <w:rFonts w:ascii="Arial" w:hAnsi="Arial" w:cs="Arial"/>
          <w:sz w:val="28"/>
          <w:szCs w:val="28"/>
          <w:lang w:val="en-GB"/>
        </w:rPr>
        <w:t>otherwise, they shall receive a lump-sum compensation if their last period of insurance contributions is less than one year.</w:t>
      </w:r>
    </w:p>
    <w:p w14:paraId="71DD806E"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If the pensioner's service is terminated for their subsequent work due to a new work-related injury or a recurrence of previous injuries prior to joining this work, or if their service is terminated due to work-related death, they shall be treated in accordance with the provisions regarding work injuries stated in this Law.</w:t>
      </w:r>
    </w:p>
    <w:p w14:paraId="5994F438"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In all cases, the total of the pensions shall not exceed the average wage or the wage according to any of the previous cases.)</w:t>
      </w:r>
    </w:p>
    <w:p w14:paraId="4269F6B7"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lastRenderedPageBreak/>
        <w:t>Article Two</w:t>
      </w:r>
    </w:p>
    <w:p w14:paraId="762A934F"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From the date of enforcement of this Law, all pensions disbursed by the Organisation in accordance with the provisions of Article (136) of the Social Insurance Law promulgated by Legislative Decree No. (24) of 1976 shall be adjusted; however, no retroactive payments for the past differences  shall be made.</w:t>
      </w:r>
    </w:p>
    <w:p w14:paraId="5A622CD1"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Article Three</w:t>
      </w:r>
    </w:p>
    <w:p w14:paraId="035E3628" w14:textId="77777777" w:rsidR="007D4476" w:rsidRPr="0072193E" w:rsidRDefault="007D4476" w:rsidP="0072193E">
      <w:pPr>
        <w:spacing w:line="360" w:lineRule="auto"/>
        <w:jc w:val="both"/>
        <w:rPr>
          <w:rFonts w:ascii="Arial" w:hAnsi="Arial" w:cs="Arial"/>
          <w:sz w:val="28"/>
          <w:szCs w:val="28"/>
          <w:lang w:val="en-GB"/>
        </w:rPr>
      </w:pPr>
      <w:r w:rsidRPr="0072193E">
        <w:rPr>
          <w:rFonts w:ascii="Arial" w:hAnsi="Arial" w:cs="Arial"/>
          <w:sz w:val="28"/>
          <w:szCs w:val="28"/>
          <w:lang w:val="en-GB"/>
        </w:rPr>
        <w:t>The Prime Minister and the Ministers—each within their jurisdiction—shall implement this Law, and it shall come into force as of the first of the month following the date of its publication in the Official Gazette.</w:t>
      </w:r>
    </w:p>
    <w:p w14:paraId="5050430B"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King of the Kingdom of Bahrain</w:t>
      </w:r>
    </w:p>
    <w:p w14:paraId="3228E4C6"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Hamad bin Isa Al Khalifa</w:t>
      </w:r>
    </w:p>
    <w:p w14:paraId="65DD495C"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Issued at Riffa Palace:</w:t>
      </w:r>
    </w:p>
    <w:p w14:paraId="7554288F"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On:</w:t>
      </w:r>
    </w:p>
    <w:p w14:paraId="38A4E37F"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18 Rajab 1431 AH</w:t>
      </w:r>
    </w:p>
    <w:p w14:paraId="28B84832"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Corresponding to:</w:t>
      </w:r>
    </w:p>
    <w:p w14:paraId="40B65D76" w14:textId="77777777" w:rsidR="007D4476" w:rsidRPr="0072193E" w:rsidRDefault="007D4476" w:rsidP="0072193E">
      <w:pPr>
        <w:spacing w:line="360" w:lineRule="auto"/>
        <w:rPr>
          <w:rFonts w:ascii="Arial" w:hAnsi="Arial" w:cs="Arial"/>
          <w:sz w:val="28"/>
          <w:szCs w:val="28"/>
          <w:lang w:val="en-GB"/>
        </w:rPr>
      </w:pPr>
      <w:r w:rsidRPr="0072193E">
        <w:rPr>
          <w:rFonts w:ascii="Arial" w:hAnsi="Arial" w:cs="Arial"/>
          <w:sz w:val="28"/>
          <w:szCs w:val="28"/>
          <w:lang w:val="en-GB"/>
        </w:rPr>
        <w:t>30 June 2010</w:t>
      </w:r>
    </w:p>
    <w:p w14:paraId="064F5F17" w14:textId="77777777" w:rsidR="00A46E4E" w:rsidRPr="0072193E" w:rsidRDefault="00A46E4E" w:rsidP="0072193E">
      <w:pPr>
        <w:spacing w:line="360" w:lineRule="auto"/>
        <w:rPr>
          <w:rFonts w:ascii="Arial" w:hAnsi="Arial" w:cs="Arial"/>
          <w:sz w:val="28"/>
          <w:szCs w:val="28"/>
        </w:rPr>
      </w:pPr>
    </w:p>
    <w:sectPr w:rsidR="00A46E4E" w:rsidRPr="0072193E" w:rsidSect="007219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DD81" w14:textId="77777777" w:rsidR="001D4C38" w:rsidRDefault="001D4C38" w:rsidP="00A00AB9">
      <w:pPr>
        <w:spacing w:after="0" w:line="240" w:lineRule="auto"/>
      </w:pPr>
      <w:r>
        <w:separator/>
      </w:r>
    </w:p>
  </w:endnote>
  <w:endnote w:type="continuationSeparator" w:id="0">
    <w:p w14:paraId="4874A3A9" w14:textId="77777777" w:rsidR="001D4C38" w:rsidRDefault="001D4C38" w:rsidP="00A0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9DFF" w14:textId="77777777" w:rsidR="00A00AB9" w:rsidRDefault="00A00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07AD" w14:textId="77777777" w:rsidR="00A00AB9" w:rsidRDefault="00A00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A0CE" w14:textId="77777777" w:rsidR="00A00AB9" w:rsidRDefault="00A00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EF72" w14:textId="77777777" w:rsidR="001D4C38" w:rsidRDefault="001D4C38" w:rsidP="00A00AB9">
      <w:pPr>
        <w:spacing w:after="0" w:line="240" w:lineRule="auto"/>
      </w:pPr>
      <w:r>
        <w:separator/>
      </w:r>
    </w:p>
  </w:footnote>
  <w:footnote w:type="continuationSeparator" w:id="0">
    <w:p w14:paraId="213D2B8B" w14:textId="77777777" w:rsidR="001D4C38" w:rsidRDefault="001D4C38" w:rsidP="00A0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E497" w14:textId="77777777" w:rsidR="00A00AB9" w:rsidRDefault="00A00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4EA5" w14:textId="2E299B58" w:rsidR="00A00AB9" w:rsidRDefault="00A00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0872" w14:textId="77777777" w:rsidR="00A00AB9" w:rsidRDefault="00A00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4D"/>
    <w:rsid w:val="00043E74"/>
    <w:rsid w:val="001D4C38"/>
    <w:rsid w:val="002375B0"/>
    <w:rsid w:val="0043297E"/>
    <w:rsid w:val="00651D7F"/>
    <w:rsid w:val="006C77BE"/>
    <w:rsid w:val="00707030"/>
    <w:rsid w:val="007143C0"/>
    <w:rsid w:val="0072193E"/>
    <w:rsid w:val="007221F9"/>
    <w:rsid w:val="00736BE2"/>
    <w:rsid w:val="007A442F"/>
    <w:rsid w:val="007B29A8"/>
    <w:rsid w:val="007D4476"/>
    <w:rsid w:val="007F5DF1"/>
    <w:rsid w:val="00823439"/>
    <w:rsid w:val="009B5CE1"/>
    <w:rsid w:val="00A00AB9"/>
    <w:rsid w:val="00A42A4D"/>
    <w:rsid w:val="00A46E4E"/>
    <w:rsid w:val="00CB5DD1"/>
    <w:rsid w:val="00D24B88"/>
    <w:rsid w:val="00D375A0"/>
    <w:rsid w:val="00E0642A"/>
    <w:rsid w:val="00E66066"/>
    <w:rsid w:val="00E86BB8"/>
    <w:rsid w:val="00EF14F1"/>
    <w:rsid w:val="00F2463B"/>
    <w:rsid w:val="00FD24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A0C32"/>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A00AB9"/>
    <w:pPr>
      <w:spacing w:after="0" w:line="240" w:lineRule="auto"/>
    </w:pPr>
  </w:style>
  <w:style w:type="paragraph" w:styleId="Header">
    <w:name w:val="header"/>
    <w:basedOn w:val="Normal"/>
    <w:link w:val="HeaderChar"/>
    <w:uiPriority w:val="99"/>
    <w:unhideWhenUsed/>
    <w:rsid w:val="00A0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AB9"/>
  </w:style>
  <w:style w:type="paragraph" w:styleId="Footer">
    <w:name w:val="footer"/>
    <w:basedOn w:val="Normal"/>
    <w:link w:val="FooterChar"/>
    <w:uiPriority w:val="99"/>
    <w:unhideWhenUsed/>
    <w:rsid w:val="00A0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AB9"/>
  </w:style>
  <w:style w:type="character" w:styleId="CommentReference">
    <w:name w:val="annotation reference"/>
    <w:basedOn w:val="DefaultParagraphFont"/>
    <w:uiPriority w:val="99"/>
    <w:semiHidden/>
    <w:unhideWhenUsed/>
    <w:rsid w:val="00F2463B"/>
    <w:rPr>
      <w:sz w:val="16"/>
      <w:szCs w:val="16"/>
    </w:rPr>
  </w:style>
  <w:style w:type="paragraph" w:styleId="CommentText">
    <w:name w:val="annotation text"/>
    <w:basedOn w:val="Normal"/>
    <w:link w:val="CommentTextChar"/>
    <w:uiPriority w:val="99"/>
    <w:semiHidden/>
    <w:unhideWhenUsed/>
    <w:rsid w:val="00F2463B"/>
    <w:pPr>
      <w:spacing w:line="240" w:lineRule="auto"/>
    </w:pPr>
    <w:rPr>
      <w:sz w:val="20"/>
      <w:szCs w:val="20"/>
    </w:rPr>
  </w:style>
  <w:style w:type="character" w:customStyle="1" w:styleId="CommentTextChar">
    <w:name w:val="Comment Text Char"/>
    <w:basedOn w:val="DefaultParagraphFont"/>
    <w:link w:val="CommentText"/>
    <w:uiPriority w:val="99"/>
    <w:semiHidden/>
    <w:rsid w:val="00F2463B"/>
    <w:rPr>
      <w:sz w:val="20"/>
      <w:szCs w:val="20"/>
    </w:rPr>
  </w:style>
  <w:style w:type="paragraph" w:styleId="CommentSubject">
    <w:name w:val="annotation subject"/>
    <w:basedOn w:val="CommentText"/>
    <w:next w:val="CommentText"/>
    <w:link w:val="CommentSubjectChar"/>
    <w:uiPriority w:val="99"/>
    <w:semiHidden/>
    <w:unhideWhenUsed/>
    <w:rsid w:val="00F2463B"/>
    <w:rPr>
      <w:b/>
      <w:bCs/>
    </w:rPr>
  </w:style>
  <w:style w:type="character" w:customStyle="1" w:styleId="CommentSubjectChar">
    <w:name w:val="Comment Subject Char"/>
    <w:basedOn w:val="CommentTextChar"/>
    <w:link w:val="CommentSubject"/>
    <w:uiPriority w:val="99"/>
    <w:semiHidden/>
    <w:rsid w:val="00F2463B"/>
    <w:rPr>
      <w:b/>
      <w:bCs/>
      <w:sz w:val="20"/>
      <w:szCs w:val="20"/>
    </w:rPr>
  </w:style>
  <w:style w:type="paragraph" w:styleId="BalloonText">
    <w:name w:val="Balloon Text"/>
    <w:basedOn w:val="Normal"/>
    <w:link w:val="BalloonTextChar"/>
    <w:uiPriority w:val="99"/>
    <w:semiHidden/>
    <w:unhideWhenUsed/>
    <w:rsid w:val="00F24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cc526643-f183-45db-b301-b9a83cfde7e3_1" sourcehash="536462967" targethash="-585282118"/>
  <segment id="8825a8f5-97cb-4184-98a4-f3577f3b1dfa_2" sourcehash="891971302" targethash="891971302"/>
  <segment id="3ddceffe-fbb7-419f-88c2-aa12345bd00d_3" sourcehash="891971301" targethash="891971301"/>
  <segment id="1255e006-e71b-4073-b753-e2f1646240bb_4" sourcehash="-552273467" targethash="1708066848"/>
  <segment id="14bccdee-15f9-41a6-9fef-7dc49aeb1cd9_5" sourcehash="1499032555" targethash="-429986839"/>
  <segment id="0ac86180-8446-4b60-8285-ccca536218d9_6" sourcehash="1114150499" targethash="1325656748"/>
  <segment id="44a5f4d9-8010-45e1-a9a1-7bc413d57220_7" sourcehash="1531247027" targethash="-383219367"/>
  <segment id="e07c190f-5e58-411f-a90b-1a95c2e82e8c_8" sourcehash="1961995205" targethash="785327105"/>
  <segment id="fe782bb4-dea4-4c4e-aa06-c878ba3cf3fd_9" sourcehash="-387415943" targethash="-424184031"/>
  <segment id="e2c0cc62-12c9-4f70-b218-1bb872b1ee9d_10" sourcehash="-13744561" targethash="1854762248"/>
  <segment id="dd722b7e-8ccb-471d-8c8a-824b6bf0cf4b_11" sourcehash="1071555899" targethash="-807335830"/>
  <segment id="e0d21000-f301-4a03-986d-5523b7baa14d_12" sourcehash="-1111714279" targethash="170308719"/>
  <segment id="6227e1d6-487f-4324-81ac-34142c1a3c9d_13" sourcehash="-1959209413" targethash="-1923556011"/>
  <segment id="6227e1d6-487f-4324-81ac-34142c1a3c9d_14" sourcehash="-1381215593" targethash="1280762002"/>
  <segment id="6227e1d6-487f-4324-81ac-34142c1a3c9d_15" sourcehash="-23087017" targethash="-1336653315"/>
  <segment id="6227e1d6-487f-4324-81ac-34142c1a3c9d_16" sourcehash="-1505064493" targethash="-1932153249"/>
  <segment id="e53b5b64-0e2f-4bf7-8fa2-ecc45f0a4955_17" sourcehash="957602823" targethash="623125723"/>
  <segment id="06ae281c-1613-4b09-aadb-3703b338e9aa_18" sourcehash="1318983450" targethash="1943957756"/>
  <segment id="06ae281c-1613-4b09-aadb-3703b338e9aa_19" sourcehash="-1026890582" targethash="2069494327"/>
  <segment id="06ae281c-1613-4b09-aadb-3703b338e9aa_20" sourcehash="314024028" targethash="-1082114139"/>
  <segment id="06ae281c-1613-4b09-aadb-3703b338e9aa_21" sourcehash="959867032" targethash="-1193296166"/>
  <segment id="06ae281c-1613-4b09-aadb-3703b338e9aa_22" sourcehash="-40065972" targethash="107658075"/>
  <segment id="2d1cd9a4-dd15-4bfb-9264-3aee254d060c_23" sourcehash="-799728230" targethash="655199510"/>
  <segment id="0c0b9d91-634f-4076-81a6-e396d180275e_24" sourcehash="-578723925" targethash="36931224"/>
  <segment id="9033d56b-9aa2-4ea7-a62b-949029b90b23_25" sourcehash="-1340209279" targethash="-744340006"/>
  <segment id="9033d56b-9aa2-4ea7-a62b-949029b90b23_26" sourcehash="-1214614922" targethash="-642725620"/>
  <segment id="d0425aa4-7d66-4525-a556-b8086d27895a_27" sourcehash="297141052" targethash="-1892185889"/>
  <segment id="d0425aa4-7d66-4525-a556-b8086d27895a_28" sourcehash="-634047817" targethash="-1981891409"/>
  <segment id="1a84273c-011e-44af-a41c-0b28b0a3d80e_29" sourcehash="-1775849113" targethash="-402467398"/>
  <segment id="feb78693-8413-475d-9bc7-dae4f9d7cbf6_30" sourcehash="534750437" targethash="-2015722125"/>
  <segment id="03992d77-5efe-4b47-a138-620c743cd7d6_31" sourcehash="-130282419" targethash="-1614741070"/>
  <segment id="2ffa9e69-2fee-42c6-8427-d83c4e16ea65_32" sourcehash="1146486267" targethash="-158603932"/>
  <segment id="4d7cc29b-f326-41d6-b446-219c6c75cad4_33" sourcehash="-503667536" targethash="-1030749247"/>
  <segment id="ee9532f8-7317-4f13-9b16-3fdea72eadb6_34" sourcehash="307248550" targethash="-317799295"/>
  <segment id="a7c08dda-b3d4-41b9-9f5c-ef550f0ab4b4_36" sourcehash="-1214390437" targethash="-728451139"/>
  <segment id="51a77e3c-17f5-4184-9298-658f6c8c0a6f_37" sourcehash="509318550" targethash="-585838874"/>
  <segment id="a3c5023b-e149-4ebc-96f7-6656e80f0845_38" sourcehash="-1971795283" targethash="1371130270"/>
  <segment id="2d746185-6704-4c74-8336-01118128a1bb_39" sourcehash="1560349116" targethash="-162871730"/>
  <segment id="2d746185-6704-4c74-8336-01118128a1bb_40" sourcehash="201648644" targethash="-1608671675"/>
  <segment id="49505db7-0bcb-4199-9af6-e8c24b211073_41" sourcehash="-1338202686" targethash="-465153337"/>
  <segment id="49505db7-0bcb-4199-9af6-e8c24b211073_42" sourcehash="-1452168115" targethash="155628328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2024-11-18T18:31:00Z</dcterms:created>
  <dcterms:modified xsi:type="dcterms:W3CDTF">2025-05-08T05:52:00Z</dcterms:modified>
</cp:coreProperties>
</file>