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0FBE3" w14:textId="77777777" w:rsidR="005B4E40" w:rsidRPr="005B4E40" w:rsidRDefault="005B4E40" w:rsidP="0097231E">
      <w:pPr>
        <w:spacing w:before="120" w:after="0" w:line="360" w:lineRule="auto"/>
        <w:rPr>
          <w:rFonts w:ascii="Arial" w:eastAsia="Times New Roman" w:hAnsi="Arial" w:cs="Arial"/>
          <w:b/>
          <w:bCs/>
          <w:sz w:val="28"/>
          <w:szCs w:val="28"/>
          <w:lang w:val="en-GB"/>
        </w:rPr>
      </w:pPr>
      <w:r w:rsidRPr="005B4E4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A7C09EF" w14:textId="77777777" w:rsidR="005B4E40" w:rsidRPr="005B4E40" w:rsidRDefault="005B4E40" w:rsidP="0097231E">
      <w:pPr>
        <w:spacing w:before="120" w:after="0" w:line="360" w:lineRule="auto"/>
        <w:rPr>
          <w:rFonts w:ascii="Arial" w:eastAsia="Times New Roman" w:hAnsi="Arial" w:cs="Arial"/>
          <w:b/>
          <w:bCs/>
          <w:sz w:val="28"/>
          <w:szCs w:val="28"/>
          <w:lang w:val="en-GB"/>
        </w:rPr>
      </w:pPr>
      <w:r w:rsidRPr="005B4E40">
        <w:rPr>
          <w:rFonts w:ascii="Arial" w:eastAsia="Times New Roman" w:hAnsi="Arial" w:cs="Arial"/>
          <w:b/>
          <w:bCs/>
          <w:sz w:val="28"/>
          <w:szCs w:val="28"/>
          <w:lang w:val="en-GB"/>
        </w:rPr>
        <w:t>For any corrections, remarks, or suggestions, kindly contact us on translate@lloc.gov.bh</w:t>
      </w:r>
    </w:p>
    <w:p w14:paraId="1395E0D5" w14:textId="77777777" w:rsidR="005B4E40" w:rsidRPr="005B4E40" w:rsidRDefault="005B4E40" w:rsidP="0097231E">
      <w:pPr>
        <w:spacing w:before="120" w:after="0" w:line="360" w:lineRule="auto"/>
        <w:rPr>
          <w:rFonts w:ascii="Arial" w:eastAsia="Times New Roman" w:hAnsi="Arial" w:cs="Arial"/>
          <w:b/>
          <w:bCs/>
          <w:sz w:val="28"/>
          <w:szCs w:val="28"/>
          <w:lang w:val="en-GB"/>
        </w:rPr>
      </w:pPr>
      <w:r w:rsidRPr="005B4E40">
        <w:rPr>
          <w:rFonts w:ascii="Arial" w:eastAsia="Times New Roman" w:hAnsi="Arial" w:cs="Arial"/>
          <w:b/>
          <w:bCs/>
          <w:sz w:val="28"/>
          <w:szCs w:val="28"/>
          <w:lang w:val="en-GB"/>
        </w:rPr>
        <w:t>Published on the website on May 2024</w:t>
      </w:r>
      <w:r w:rsidRPr="005B4E40">
        <w:rPr>
          <w:rFonts w:ascii="Arial" w:eastAsia="Times New Roman" w:hAnsi="Arial" w:cs="Arial"/>
          <w:b/>
          <w:bCs/>
          <w:sz w:val="28"/>
          <w:szCs w:val="28"/>
          <w:lang w:val="en-GB"/>
        </w:rPr>
        <w:br w:type="page"/>
      </w:r>
    </w:p>
    <w:p w14:paraId="77DEF808"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b/>
          <w:bCs/>
          <w:sz w:val="28"/>
          <w:szCs w:val="28"/>
          <w:lang w:val="en-GB"/>
        </w:rPr>
        <w:lastRenderedPageBreak/>
        <w:t>Law No. (29) of 2012 ratifying Protocol Amending the Convention Between the Government of The Kingdom of Bahrain and The Government of the Republic of Singapore for the Avoidance of Double Taxation and the Prevention of Tax Evasion with respect to Taxes on Income </w:t>
      </w:r>
    </w:p>
    <w:p w14:paraId="3FDE5500"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br w:type="page"/>
      </w:r>
    </w:p>
    <w:p w14:paraId="4F6FB1D9"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We, Hamad bin Isa Al Khalifa King of the Kingdom of Bahrain. </w:t>
      </w:r>
    </w:p>
    <w:p w14:paraId="0B06AB4D"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Having reviewed the Constitution, </w:t>
      </w:r>
    </w:p>
    <w:p w14:paraId="19E657CE" w14:textId="77777777" w:rsidR="005B4E40" w:rsidRPr="005B4E40" w:rsidRDefault="005B4E40" w:rsidP="0097231E">
      <w:pPr>
        <w:spacing w:before="120" w:after="0" w:line="360" w:lineRule="auto"/>
        <w:rPr>
          <w:rFonts w:ascii="Arial" w:eastAsia="Times New Roman" w:hAnsi="Arial" w:cs="Arial"/>
          <w:sz w:val="28"/>
          <w:szCs w:val="28"/>
        </w:rPr>
      </w:pPr>
      <w:r w:rsidRPr="005B4E40">
        <w:rPr>
          <w:rFonts w:ascii="Arial" w:eastAsia="Times New Roman" w:hAnsi="Arial" w:cs="Arial"/>
          <w:sz w:val="28"/>
          <w:szCs w:val="28"/>
        </w:rPr>
        <w:t>the Law No. (22) of 2004 ratifying the Convention Between the Government of The Kingdom Of Bahrain and the Government of the Republic of Singapore for the Avoidance of Double Taxation and the Prevention of Tax Evasion with respect to Taxes on Income.</w:t>
      </w:r>
      <w:r w:rsidRPr="005B4E40">
        <w:rPr>
          <w:rFonts w:ascii="Arial" w:eastAsia="Times New Roman" w:hAnsi="Arial" w:cs="Arial"/>
          <w:sz w:val="28"/>
          <w:szCs w:val="28"/>
          <w:lang w:val="en-GB"/>
        </w:rPr>
        <w:t>،</w:t>
      </w:r>
      <w:r w:rsidRPr="005B4E40">
        <w:rPr>
          <w:rFonts w:ascii="Arial" w:eastAsia="Times New Roman" w:hAnsi="Arial" w:cs="Arial"/>
          <w:sz w:val="28"/>
          <w:szCs w:val="28"/>
        </w:rPr>
        <w:t> </w:t>
      </w:r>
    </w:p>
    <w:p w14:paraId="34C34178"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The Protocol Amending the Convention Between the Government of The Kingdom of Bahrain and The Government of the Republic of Singapore for the Avoidance of Double Taxation and the Prevention of Tax Evasion with respect to Taxes on Income, signed in Manama on 14th October 2009. </w:t>
      </w:r>
    </w:p>
    <w:p w14:paraId="41B364F2"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The Shura Council and the Council of Representatives have approved the following law, which we have ratified and enacted: </w:t>
      </w:r>
    </w:p>
    <w:p w14:paraId="1A347547"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b/>
          <w:bCs/>
          <w:sz w:val="28"/>
          <w:szCs w:val="28"/>
          <w:lang w:val="en-GB"/>
        </w:rPr>
        <w:t>Article one </w:t>
      </w:r>
    </w:p>
    <w:p w14:paraId="6983E4B4"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The Protocol Amending the Convention Between the Government of The Kingdom of Bahrain and The Government of the Republic of Singapore for the Avoidance of Double Taxation and the Prevention of Tax Evasion with respect to Taxes on Income, signed in Manama on 14th October 2009, Attached to this law, has been ratified.. </w:t>
      </w:r>
    </w:p>
    <w:p w14:paraId="03E9CB46"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b/>
          <w:bCs/>
          <w:sz w:val="28"/>
          <w:szCs w:val="28"/>
          <w:lang w:val="en-GB"/>
        </w:rPr>
        <w:t>Article two </w:t>
      </w:r>
    </w:p>
    <w:p w14:paraId="3B27F5E6"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07115E9C"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b/>
          <w:bCs/>
          <w:sz w:val="28"/>
          <w:szCs w:val="28"/>
          <w:lang w:val="en-GB"/>
        </w:rPr>
        <w:t>King of the Kingdom of Bahrain </w:t>
      </w:r>
    </w:p>
    <w:p w14:paraId="40674949"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b/>
          <w:bCs/>
          <w:sz w:val="28"/>
          <w:szCs w:val="28"/>
          <w:lang w:val="en-GB"/>
        </w:rPr>
        <w:t>Hamad bin Isa Al Khalifa, </w:t>
      </w:r>
    </w:p>
    <w:p w14:paraId="55733B5A"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Issued at Riffa Palace: </w:t>
      </w:r>
    </w:p>
    <w:p w14:paraId="40B8D0A0"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On: 4 Shaaban 1433 A.H. </w:t>
      </w:r>
    </w:p>
    <w:p w14:paraId="0D28574E"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Corresponding to: 24 June 2012 </w:t>
      </w:r>
    </w:p>
    <w:p w14:paraId="5FAA0242"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b/>
          <w:bCs/>
          <w:sz w:val="28"/>
          <w:szCs w:val="28"/>
          <w:lang w:val="en-GB"/>
        </w:rPr>
        <w:t>Protocol Amending the Convention Between the Government of The Kingdom of Bahrain and The Government of the Republic of Singapore for the Avoidance of Double Taxation and the Prevention of Tax Evasion with respect to Taxes on Income </w:t>
      </w:r>
    </w:p>
    <w:p w14:paraId="18257D4A"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The Government of the Kingdom of Bahrain and the Government of the Republic of Singapore, Desiring to amend the Convention between the Government of the Kingdom of Bahrain and the Government of the Republic of Singapore for the avoidance of double taxation and the prevention of Tax evasion with respect to taxes on income, signed at Manama, Bahrain on the 18th of February 2004 (hereinafter referred to as “the Convention”), </w:t>
      </w:r>
    </w:p>
    <w:p w14:paraId="71443527"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Have agreed as follows: </w:t>
      </w:r>
    </w:p>
    <w:p w14:paraId="60B81EFD"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b/>
          <w:bCs/>
          <w:sz w:val="28"/>
          <w:szCs w:val="28"/>
          <w:lang w:val="en-GB"/>
        </w:rPr>
        <w:t>Article (1) </w:t>
      </w:r>
    </w:p>
    <w:p w14:paraId="1289B9A3"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The text of Article 25 of the Convention shall be deleted and replaced by the following text: </w:t>
      </w:r>
    </w:p>
    <w:p w14:paraId="48A36101"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1. 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political subdivisions or local authorities, insofar as the taxation thereunder is not contrary to the Convention. The exchange of information shall not be restricted by Articles (1) and (2). </w:t>
      </w:r>
    </w:p>
    <w:p w14:paraId="3ECD4572"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ruling upon appeals in relation to the taxes referred to in Paragraph (1), or the oversight of the above. Such persons or authorities shall use the information only for such purposes. They may disclose the information in public court proceedings or in judicial decisions. </w:t>
      </w:r>
    </w:p>
    <w:p w14:paraId="63EDF756"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3. In no case shall the provisions of Paragraphs (1) and (2) be construed so as to impose on a Contracting State the obligation: </w:t>
      </w:r>
    </w:p>
    <w:p w14:paraId="3B367EAD"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a) to carry out administrative measures at variance with the laws and administrative practice of that or of the other Contracting State. </w:t>
      </w:r>
    </w:p>
    <w:p w14:paraId="34A683EC"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731FBCBD"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 public order). </w:t>
      </w:r>
    </w:p>
    <w:p w14:paraId="23988DDB"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2E86D351"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5. 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personal interests of the owner. </w:t>
      </w:r>
    </w:p>
    <w:p w14:paraId="05658C37"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b/>
          <w:bCs/>
          <w:sz w:val="28"/>
          <w:szCs w:val="28"/>
          <w:lang w:val="en-GB"/>
        </w:rPr>
        <w:t>Article (2) </w:t>
      </w:r>
    </w:p>
    <w:p w14:paraId="23C0DFE4"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Each of the Contracting States shall notify to the other the completion of the procedures required by its law for the bringing into force of this Protocol and this Protocol shall enter into force 30 days after the date of the later of these notifications. </w:t>
      </w:r>
    </w:p>
    <w:p w14:paraId="3959F35D"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b/>
          <w:bCs/>
          <w:sz w:val="28"/>
          <w:szCs w:val="28"/>
          <w:lang w:val="en-GB"/>
        </w:rPr>
        <w:t>Article (3) </w:t>
      </w:r>
    </w:p>
    <w:p w14:paraId="4AD9FFD7"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This Protocol, which shall form an integral part of the Convention, shall remain in force as long as the Convention remains in force and shall apply as long as the Convention itself is applicable. </w:t>
      </w:r>
    </w:p>
    <w:p w14:paraId="2838B8C5"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In witness whereof the undersigned, duly authorized thereto by their Government, have signed this PROTOCOL. </w:t>
      </w:r>
    </w:p>
    <w:p w14:paraId="231512FE"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Done in duplicate at Manama on this 14th October 2009, in the Arabic and English languages, both texts being equally authentic, but in the case of divergence of interpretation, the English text shall prevail. </w:t>
      </w:r>
    </w:p>
    <w:p w14:paraId="7A86614D"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For the Government of the Kingdom of Bahrain </w:t>
      </w:r>
    </w:p>
    <w:p w14:paraId="104FCEAC" w14:textId="77777777" w:rsidR="005B4E40" w:rsidRPr="005B4E40" w:rsidRDefault="005B4E40" w:rsidP="0097231E">
      <w:pPr>
        <w:spacing w:before="120" w:after="0" w:line="360" w:lineRule="auto"/>
        <w:rPr>
          <w:rFonts w:ascii="Arial" w:eastAsia="Times New Roman" w:hAnsi="Arial" w:cs="Arial"/>
          <w:sz w:val="28"/>
          <w:szCs w:val="28"/>
          <w:lang w:val="en-GB"/>
        </w:rPr>
      </w:pPr>
      <w:r w:rsidRPr="005B4E40">
        <w:rPr>
          <w:rFonts w:ascii="Arial" w:eastAsia="Times New Roman" w:hAnsi="Arial" w:cs="Arial"/>
          <w:sz w:val="28"/>
          <w:szCs w:val="28"/>
          <w:lang w:val="en-GB"/>
        </w:rPr>
        <w:t>For the Government of the Republic of Singapore </w:t>
      </w:r>
    </w:p>
    <w:p w14:paraId="60B84E29" w14:textId="77777777" w:rsidR="005B4E40" w:rsidRPr="005B4E40" w:rsidRDefault="005B4E40" w:rsidP="0097231E">
      <w:pPr>
        <w:spacing w:before="120" w:after="0" w:line="360" w:lineRule="auto"/>
        <w:rPr>
          <w:rFonts w:ascii="Arial" w:eastAsia="Times New Roman" w:hAnsi="Arial" w:cs="Arial"/>
          <w:b/>
          <w:bCs/>
          <w:sz w:val="28"/>
          <w:szCs w:val="28"/>
          <w:lang w:val="en-US"/>
        </w:rPr>
      </w:pPr>
    </w:p>
    <w:p w14:paraId="199B6525" w14:textId="77777777" w:rsidR="005B4E40" w:rsidRPr="005B4E40" w:rsidRDefault="005B4E40" w:rsidP="0097231E">
      <w:pPr>
        <w:spacing w:before="120" w:after="0" w:line="360" w:lineRule="auto"/>
        <w:rPr>
          <w:rFonts w:ascii="Arial" w:hAnsi="Arial" w:cs="Arial"/>
          <w:sz w:val="28"/>
          <w:szCs w:val="28"/>
          <w:lang w:val="en-US"/>
        </w:rPr>
      </w:pPr>
    </w:p>
    <w:sectPr w:rsidR="005B4E40" w:rsidRPr="005B4E40" w:rsidSect="00954C6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E8BED" w14:textId="77777777" w:rsidR="005B4E40" w:rsidRDefault="005B4E40">
      <w:pPr>
        <w:spacing w:after="0" w:line="240" w:lineRule="auto"/>
      </w:pPr>
      <w:r>
        <w:separator/>
      </w:r>
    </w:p>
  </w:endnote>
  <w:endnote w:type="continuationSeparator" w:id="0">
    <w:p w14:paraId="09FBB1F2" w14:textId="77777777" w:rsidR="005B4E40" w:rsidRDefault="005B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00528" w14:textId="77777777" w:rsidR="005B4E40" w:rsidRDefault="005B4E40">
      <w:pPr>
        <w:spacing w:after="0" w:line="240" w:lineRule="auto"/>
      </w:pPr>
      <w:r>
        <w:separator/>
      </w:r>
    </w:p>
  </w:footnote>
  <w:footnote w:type="continuationSeparator" w:id="0">
    <w:p w14:paraId="05226CFB" w14:textId="77777777" w:rsidR="005B4E40" w:rsidRDefault="005B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BF35" w14:textId="77777777" w:rsidR="005B4E40" w:rsidRDefault="005B4E40">
    <w:pPr>
      <w:pStyle w:val="Header"/>
    </w:pPr>
    <w:r>
      <w:t>K2912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B3"/>
    <w:rsid w:val="000129C5"/>
    <w:rsid w:val="00521F4E"/>
    <w:rsid w:val="005B4E40"/>
    <w:rsid w:val="00815AD9"/>
    <w:rsid w:val="00954C61"/>
    <w:rsid w:val="0097231E"/>
    <w:rsid w:val="00F76B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1E9D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