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617F" w14:textId="77777777" w:rsidR="00C517C7" w:rsidRPr="00C517C7" w:rsidRDefault="00C517C7" w:rsidP="00791337">
      <w:pPr>
        <w:spacing w:before="120" w:after="0" w:line="360" w:lineRule="auto"/>
        <w:rPr>
          <w:rFonts w:ascii="Arial" w:eastAsia="Times New Roman" w:hAnsi="Arial" w:cs="Arial"/>
          <w:b/>
          <w:bCs/>
          <w:sz w:val="28"/>
          <w:szCs w:val="28"/>
          <w:lang w:val="en-GB"/>
        </w:rPr>
      </w:pPr>
      <w:r w:rsidRPr="00C517C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6131C8" w14:textId="77777777" w:rsidR="00C517C7" w:rsidRPr="00C517C7" w:rsidRDefault="00C517C7" w:rsidP="00791337">
      <w:pPr>
        <w:spacing w:before="120" w:after="0" w:line="360" w:lineRule="auto"/>
        <w:rPr>
          <w:rFonts w:ascii="Arial" w:eastAsia="Times New Roman" w:hAnsi="Arial" w:cs="Arial"/>
          <w:b/>
          <w:bCs/>
          <w:sz w:val="28"/>
          <w:szCs w:val="28"/>
          <w:lang w:val="en-GB"/>
        </w:rPr>
      </w:pPr>
      <w:r w:rsidRPr="00C517C7">
        <w:rPr>
          <w:rFonts w:ascii="Arial" w:eastAsia="Times New Roman" w:hAnsi="Arial" w:cs="Arial"/>
          <w:b/>
          <w:bCs/>
          <w:sz w:val="28"/>
          <w:szCs w:val="28"/>
          <w:lang w:val="en-GB"/>
        </w:rPr>
        <w:t>For any corrections, remarks, or suggestions, kindly contact us on translate@lloc.gov.bh</w:t>
      </w:r>
    </w:p>
    <w:p w14:paraId="17BFAE09" w14:textId="77777777" w:rsidR="00C517C7" w:rsidRPr="00C517C7" w:rsidRDefault="00C517C7" w:rsidP="00791337">
      <w:pPr>
        <w:spacing w:before="120" w:after="0" w:line="360" w:lineRule="auto"/>
        <w:rPr>
          <w:rFonts w:ascii="Arial" w:eastAsia="Times New Roman" w:hAnsi="Arial" w:cs="Arial"/>
          <w:b/>
          <w:bCs/>
          <w:sz w:val="28"/>
          <w:szCs w:val="28"/>
          <w:lang w:val="en-GB"/>
        </w:rPr>
      </w:pPr>
      <w:r w:rsidRPr="00C517C7">
        <w:rPr>
          <w:rFonts w:ascii="Arial" w:eastAsia="Times New Roman" w:hAnsi="Arial" w:cs="Arial"/>
          <w:b/>
          <w:bCs/>
          <w:sz w:val="28"/>
          <w:szCs w:val="28"/>
          <w:lang w:val="en-GB"/>
        </w:rPr>
        <w:t>Published on the website on May 2024</w:t>
      </w:r>
      <w:r w:rsidRPr="00C517C7">
        <w:rPr>
          <w:rFonts w:ascii="Arial" w:eastAsia="Times New Roman" w:hAnsi="Arial" w:cs="Arial"/>
          <w:b/>
          <w:bCs/>
          <w:sz w:val="28"/>
          <w:szCs w:val="28"/>
          <w:lang w:val="en-GB"/>
        </w:rPr>
        <w:br w:type="page"/>
      </w:r>
    </w:p>
    <w:p w14:paraId="2F8443B8"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lastRenderedPageBreak/>
        <w:t>Law No. (27) of 2011 regarding Raising the Minimum of Pensions of those Subject to the Provisions of the Social Insurance Law </w:t>
      </w:r>
    </w:p>
    <w:p w14:paraId="0026C962"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br w:type="page"/>
      </w:r>
    </w:p>
    <w:p w14:paraId="6B08586A"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Promulgated by Legislative Decree No. (24) of 1976, as amended </w:t>
      </w:r>
    </w:p>
    <w:p w14:paraId="3A34D3F8"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We, Hamad bin Isa Al Khalifa, King of the Kingdom of Bahrain. </w:t>
      </w:r>
    </w:p>
    <w:p w14:paraId="17B4A3E4"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Having reviewed the Constitution, </w:t>
      </w:r>
    </w:p>
    <w:p w14:paraId="080030A8"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Social Insurance Law promulgated by Legislative Decree No. (24) of 1976, as amended; </w:t>
      </w:r>
    </w:p>
    <w:p w14:paraId="0A5753CF"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Law No. (3) of 2008 regarding the Social Insurance Organization; </w:t>
      </w:r>
    </w:p>
    <w:p w14:paraId="5336D735"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The Shura Council and the Council of Representatives have approved the following law, which we have ratified and enacted: </w:t>
      </w:r>
    </w:p>
    <w:p w14:paraId="79EAF021"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t>Article One </w:t>
      </w:r>
    </w:p>
    <w:p w14:paraId="450B2710"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The minimum retirement pension for a pensioner subject to the provisions of the Social Insurance Law promulgated by Legislative Decree No. (24) of 1976 shall be of (200dinars) per month. All pensions due before the issuance of this law shall be raised to the limit indicated above, with the exception of cases of pensions due for partial disability by injury. No financial differences for the period prior to its entry into force shall be disbursed. </w:t>
      </w:r>
    </w:p>
    <w:p w14:paraId="57E65B11"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The application of the provisions of this law with regard to pensions due after its entry into force shall be limited to cases in which the insuree attains the age of fifty-five or more at the time of retirement and to cases of natural death, or death by injury, natural disability or disability by injury. </w:t>
      </w:r>
    </w:p>
    <w:p w14:paraId="3B40753D"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And if the age of the pensioner at the time of retirement is less than fifty-five, this increase shall take effect from the day following the date he attains the age of fifty-five, or from the day following his death or total disability before reaching the mentioned age. </w:t>
      </w:r>
    </w:p>
    <w:p w14:paraId="32DE8BBD"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t>Article Two </w:t>
      </w:r>
    </w:p>
    <w:p w14:paraId="1EA39EB0"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The General Budget of the State shall bear the financial costs resulting from the implementation of the provisions of this Law. </w:t>
      </w:r>
    </w:p>
    <w:p w14:paraId="060B954A"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t>Article Three </w:t>
      </w:r>
    </w:p>
    <w:p w14:paraId="056AF913"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The Prime Minister and the ministers - each within his jurisdiction - shall implement this Law,and it shall come into force from the first day of the following month after the date of its publication in the Official Gazette. </w:t>
      </w:r>
    </w:p>
    <w:p w14:paraId="73E2026D"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t>King of Kingdom of Bahrain </w:t>
      </w:r>
    </w:p>
    <w:p w14:paraId="4083F61A"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b/>
          <w:bCs/>
          <w:sz w:val="28"/>
          <w:szCs w:val="28"/>
          <w:lang w:val="en-GB"/>
        </w:rPr>
        <w:t>Hamad bin Isa Al Khalifa </w:t>
      </w:r>
    </w:p>
    <w:p w14:paraId="21850981"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Issued at Riffa Palace: </w:t>
      </w:r>
    </w:p>
    <w:p w14:paraId="07CA6D56"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On: 25 Shaban 1432 A.H. </w:t>
      </w:r>
    </w:p>
    <w:p w14:paraId="7BD13D0D" w14:textId="77777777" w:rsidR="00C517C7" w:rsidRPr="00C517C7" w:rsidRDefault="00C517C7" w:rsidP="00791337">
      <w:pPr>
        <w:spacing w:before="120" w:after="0" w:line="360" w:lineRule="auto"/>
        <w:rPr>
          <w:rFonts w:ascii="Arial" w:eastAsia="Times New Roman" w:hAnsi="Arial" w:cs="Arial"/>
          <w:sz w:val="28"/>
          <w:szCs w:val="28"/>
          <w:lang w:val="en-GB"/>
        </w:rPr>
      </w:pPr>
      <w:r w:rsidRPr="00C517C7">
        <w:rPr>
          <w:rFonts w:ascii="Arial" w:eastAsia="Times New Roman" w:hAnsi="Arial" w:cs="Arial"/>
          <w:sz w:val="28"/>
          <w:szCs w:val="28"/>
          <w:lang w:val="en-GB"/>
        </w:rPr>
        <w:t>Corresponding to: 26 July 2011 </w:t>
      </w:r>
    </w:p>
    <w:p w14:paraId="2520207F" w14:textId="77777777" w:rsidR="00C517C7" w:rsidRPr="00C517C7" w:rsidRDefault="00C517C7" w:rsidP="00791337">
      <w:pPr>
        <w:spacing w:before="120" w:after="0" w:line="360" w:lineRule="auto"/>
        <w:rPr>
          <w:rFonts w:ascii="Arial" w:eastAsia="Times New Roman" w:hAnsi="Arial" w:cs="Arial"/>
          <w:b/>
          <w:bCs/>
          <w:sz w:val="28"/>
          <w:szCs w:val="28"/>
        </w:rPr>
      </w:pPr>
    </w:p>
    <w:p w14:paraId="5C8B7CE1" w14:textId="77777777" w:rsidR="00C517C7" w:rsidRPr="00C517C7" w:rsidRDefault="00C517C7" w:rsidP="00791337">
      <w:pPr>
        <w:spacing w:before="120" w:after="0" w:line="360" w:lineRule="auto"/>
        <w:rPr>
          <w:rFonts w:ascii="Arial" w:hAnsi="Arial" w:cs="Arial"/>
          <w:sz w:val="28"/>
          <w:szCs w:val="28"/>
        </w:rPr>
      </w:pPr>
    </w:p>
    <w:sectPr w:rsidR="00C517C7" w:rsidRPr="00C517C7" w:rsidSect="00440D4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9B49" w14:textId="77777777" w:rsidR="00C517C7" w:rsidRDefault="00C517C7">
      <w:pPr>
        <w:spacing w:after="0" w:line="240" w:lineRule="auto"/>
      </w:pPr>
      <w:r>
        <w:separator/>
      </w:r>
    </w:p>
  </w:endnote>
  <w:endnote w:type="continuationSeparator" w:id="0">
    <w:p w14:paraId="4FFA4751" w14:textId="77777777" w:rsidR="00C517C7" w:rsidRDefault="00C5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F8D55" w14:textId="77777777" w:rsidR="00C517C7" w:rsidRDefault="00C517C7">
      <w:pPr>
        <w:spacing w:after="0" w:line="240" w:lineRule="auto"/>
      </w:pPr>
      <w:r>
        <w:separator/>
      </w:r>
    </w:p>
  </w:footnote>
  <w:footnote w:type="continuationSeparator" w:id="0">
    <w:p w14:paraId="22814E01" w14:textId="77777777" w:rsidR="00C517C7" w:rsidRDefault="00C5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D3D1" w14:textId="77777777" w:rsidR="00C517C7" w:rsidRDefault="00C517C7">
    <w:pPr>
      <w:pStyle w:val="Header"/>
    </w:pPr>
    <w:r>
      <w:t>K2711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A3"/>
    <w:rsid w:val="000129C5"/>
    <w:rsid w:val="00440D46"/>
    <w:rsid w:val="00521F4E"/>
    <w:rsid w:val="00791337"/>
    <w:rsid w:val="00815AD9"/>
    <w:rsid w:val="00C517C7"/>
    <w:rsid w:val="00E315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50B9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