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377A3" w14:textId="77777777" w:rsidR="00746B02" w:rsidRDefault="00746B02">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3987688" w14:textId="77777777" w:rsidR="00746B02" w:rsidRDefault="00746B02">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For any corrections, remarks, or suggestions, kindly contact us on translate@lloc.gov.bh</w:t>
      </w:r>
    </w:p>
    <w:p w14:paraId="1DBE80F7" w14:textId="5B07EE9C" w:rsidR="00746B02" w:rsidRDefault="00746B02">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Published on the website on May 2024</w:t>
      </w:r>
      <w:r>
        <w:rPr>
          <w:rFonts w:ascii="Arial" w:eastAsia="Times New Roman" w:hAnsi="Arial" w:cs="Arial"/>
          <w:b/>
          <w:bCs/>
          <w:sz w:val="28"/>
          <w:szCs w:val="28"/>
          <w:lang w:val="en-GB"/>
        </w:rPr>
        <w:br w:type="page"/>
      </w:r>
    </w:p>
    <w:p w14:paraId="59344734" w14:textId="5D621DE0" w:rsidR="00C210D4" w:rsidRPr="00C210D4" w:rsidRDefault="00C210D4" w:rsidP="00B03C66">
      <w:pPr>
        <w:spacing w:before="120" w:after="0" w:line="360" w:lineRule="auto"/>
        <w:jc w:val="center"/>
        <w:rPr>
          <w:rFonts w:ascii="Arial" w:eastAsia="Times New Roman" w:hAnsi="Arial" w:cs="Arial"/>
          <w:sz w:val="28"/>
          <w:szCs w:val="28"/>
        </w:rPr>
      </w:pPr>
      <w:r w:rsidRPr="00C210D4">
        <w:rPr>
          <w:rFonts w:ascii="Arial" w:eastAsia="Times New Roman" w:hAnsi="Arial" w:cs="Arial"/>
          <w:b/>
          <w:bCs/>
          <w:sz w:val="28"/>
          <w:szCs w:val="28"/>
          <w:lang w:val="en-GB"/>
        </w:rPr>
        <w:lastRenderedPageBreak/>
        <w:t xml:space="preserve">Law No. (17) of 2009 amending certain provisions of Law of Evidence in Civil and Commercial Matters promulgated by Legislative Decree No. </w:t>
      </w:r>
      <w:r w:rsidRPr="00C210D4">
        <w:rPr>
          <w:rFonts w:ascii="Arial" w:eastAsia="Times New Roman" w:hAnsi="Arial" w:cs="Arial"/>
          <w:b/>
          <w:bCs/>
          <w:sz w:val="28"/>
          <w:szCs w:val="28"/>
        </w:rPr>
        <w:t>(14) of 1996</w:t>
      </w:r>
    </w:p>
    <w:p w14:paraId="459C792C" w14:textId="77777777" w:rsidR="00C210D4" w:rsidRPr="00C210D4" w:rsidRDefault="00C210D4" w:rsidP="00B03C66">
      <w:pPr>
        <w:spacing w:before="120" w:after="0" w:line="360" w:lineRule="auto"/>
        <w:rPr>
          <w:rFonts w:ascii="Arial" w:eastAsia="Times New Roman" w:hAnsi="Arial" w:cs="Arial"/>
          <w:sz w:val="28"/>
          <w:szCs w:val="28"/>
          <w:lang w:val="en-US"/>
        </w:rPr>
      </w:pPr>
      <w:r w:rsidRPr="00C210D4">
        <w:rPr>
          <w:rFonts w:ascii="Arial" w:eastAsia="Times New Roman" w:hAnsi="Arial" w:cs="Arial"/>
          <w:sz w:val="28"/>
          <w:szCs w:val="28"/>
          <w:lang w:val="en-US"/>
        </w:rPr>
        <w:t>We, Hamad bin Isa Al Khalifa King of the Kingdom of Bahrain. </w:t>
      </w:r>
    </w:p>
    <w:p w14:paraId="1EE15A50" w14:textId="77777777" w:rsidR="00C210D4" w:rsidRPr="00C210D4" w:rsidRDefault="00C210D4" w:rsidP="00B03C66">
      <w:pPr>
        <w:spacing w:before="120" w:after="0" w:line="360" w:lineRule="auto"/>
        <w:rPr>
          <w:rFonts w:ascii="Arial" w:eastAsia="Times New Roman" w:hAnsi="Arial" w:cs="Arial"/>
          <w:sz w:val="28"/>
          <w:szCs w:val="28"/>
          <w:lang w:val="en-US"/>
        </w:rPr>
      </w:pPr>
      <w:r w:rsidRPr="00C210D4">
        <w:rPr>
          <w:rFonts w:ascii="Arial" w:eastAsia="Times New Roman" w:hAnsi="Arial" w:cs="Arial"/>
          <w:sz w:val="28"/>
          <w:szCs w:val="28"/>
          <w:lang w:val="en-US"/>
        </w:rPr>
        <w:t>Having reviewed the Constitution, and the Law of Evidence in Civil and Commercial Matters promulgated by Legislative Decree No. (14) of 1996, as amended; The Shura Council and the Council of Representatives have approved the following law, which we have ratified and enacted; </w:t>
      </w:r>
    </w:p>
    <w:p w14:paraId="465273EC" w14:textId="77777777" w:rsidR="00C210D4" w:rsidRPr="00C210D4" w:rsidRDefault="00C210D4" w:rsidP="00B03C66">
      <w:pPr>
        <w:spacing w:before="120" w:after="0" w:line="360" w:lineRule="auto"/>
        <w:rPr>
          <w:rFonts w:ascii="Arial" w:eastAsia="Times New Roman" w:hAnsi="Arial" w:cs="Arial"/>
          <w:sz w:val="28"/>
          <w:szCs w:val="28"/>
        </w:rPr>
      </w:pPr>
      <w:r w:rsidRPr="00C210D4">
        <w:rPr>
          <w:rFonts w:ascii="Arial" w:eastAsia="Times New Roman" w:hAnsi="Arial" w:cs="Arial"/>
          <w:b/>
          <w:bCs/>
          <w:sz w:val="28"/>
          <w:szCs w:val="28"/>
        </w:rPr>
        <w:t>Article One </w:t>
      </w:r>
    </w:p>
    <w:p w14:paraId="6435FBCD" w14:textId="77777777" w:rsidR="00C210D4" w:rsidRPr="00C210D4" w:rsidRDefault="00C210D4" w:rsidP="00B03C66">
      <w:pPr>
        <w:spacing w:before="120" w:after="0" w:line="360" w:lineRule="auto"/>
        <w:rPr>
          <w:rFonts w:ascii="Arial" w:eastAsia="Times New Roman" w:hAnsi="Arial" w:cs="Arial"/>
          <w:sz w:val="28"/>
          <w:szCs w:val="28"/>
        </w:rPr>
      </w:pPr>
      <w:r w:rsidRPr="00C210D4">
        <w:rPr>
          <w:rFonts w:ascii="Arial" w:eastAsia="Times New Roman" w:hAnsi="Arial" w:cs="Arial"/>
          <w:sz w:val="28"/>
          <w:szCs w:val="28"/>
          <w:lang w:val="en-US"/>
        </w:rPr>
        <w:t xml:space="preserve">The texts of Articles numbers (61) and (62) of the Law of Evidence in Civil and Commercial Matters promulgated by Legislative Decree No. </w:t>
      </w:r>
      <w:r w:rsidRPr="00C210D4">
        <w:rPr>
          <w:rFonts w:ascii="Arial" w:eastAsia="Times New Roman" w:hAnsi="Arial" w:cs="Arial"/>
          <w:sz w:val="28"/>
          <w:szCs w:val="28"/>
        </w:rPr>
        <w:t>(14) of 1996 shall be replaced by the following texts: </w:t>
      </w:r>
    </w:p>
    <w:p w14:paraId="0609C3DD" w14:textId="77777777" w:rsidR="00C210D4" w:rsidRPr="00C210D4" w:rsidRDefault="00C210D4" w:rsidP="00B03C66">
      <w:pPr>
        <w:spacing w:before="120" w:after="0" w:line="360" w:lineRule="auto"/>
        <w:rPr>
          <w:rFonts w:ascii="Arial" w:eastAsia="Times New Roman" w:hAnsi="Arial" w:cs="Arial"/>
          <w:sz w:val="28"/>
          <w:szCs w:val="28"/>
        </w:rPr>
      </w:pPr>
      <w:r w:rsidRPr="00C210D4">
        <w:rPr>
          <w:rFonts w:ascii="Arial" w:eastAsia="Times New Roman" w:hAnsi="Arial" w:cs="Arial"/>
          <w:sz w:val="28"/>
          <w:szCs w:val="28"/>
        </w:rPr>
        <w:t>Article (61): </w:t>
      </w:r>
    </w:p>
    <w:p w14:paraId="3FABA756" w14:textId="77777777" w:rsidR="00C210D4" w:rsidRPr="00C210D4" w:rsidRDefault="00C210D4" w:rsidP="00B03C66">
      <w:pPr>
        <w:spacing w:before="120" w:after="0" w:line="360" w:lineRule="auto"/>
        <w:rPr>
          <w:rFonts w:ascii="Arial" w:eastAsia="Times New Roman" w:hAnsi="Arial" w:cs="Arial"/>
          <w:sz w:val="28"/>
          <w:szCs w:val="28"/>
          <w:lang w:val="en-US"/>
        </w:rPr>
      </w:pPr>
      <w:r w:rsidRPr="00C210D4">
        <w:rPr>
          <w:rFonts w:ascii="Arial" w:eastAsia="Times New Roman" w:hAnsi="Arial" w:cs="Arial"/>
          <w:sz w:val="28"/>
          <w:szCs w:val="28"/>
          <w:lang w:val="en-US"/>
        </w:rPr>
        <w:t>In non-commercial matters, if the value of the legal disposition exceeds five hundred dinars, or if the value is not specified, the testimony of witnesses is not permissible to prove its existence or its extinction, and its proof is in writing, unless there is an agreement or a text stipulating otherwise. </w:t>
      </w:r>
    </w:p>
    <w:p w14:paraId="373F74F8" w14:textId="77777777" w:rsidR="00C210D4" w:rsidRPr="00C210D4" w:rsidRDefault="00C210D4" w:rsidP="00B03C66">
      <w:pPr>
        <w:spacing w:before="120" w:after="0" w:line="360" w:lineRule="auto"/>
        <w:rPr>
          <w:rFonts w:ascii="Arial" w:eastAsia="Times New Roman" w:hAnsi="Arial" w:cs="Arial"/>
          <w:sz w:val="28"/>
          <w:szCs w:val="28"/>
          <w:lang w:val="en-US"/>
        </w:rPr>
      </w:pPr>
      <w:r w:rsidRPr="00C210D4">
        <w:rPr>
          <w:rFonts w:ascii="Arial" w:eastAsia="Times New Roman" w:hAnsi="Arial" w:cs="Arial"/>
          <w:sz w:val="28"/>
          <w:szCs w:val="28"/>
          <w:lang w:val="en-US"/>
        </w:rPr>
        <w:t>The obligation is estimated by considering its value at the time of disposition, and it is permissible to prove it by the testimony of witnesses if the increase in the obligation exceeds five hundred dinars and is only caused from adding the attachments to the original. </w:t>
      </w:r>
    </w:p>
    <w:p w14:paraId="1877290F" w14:textId="77777777" w:rsidR="00C210D4" w:rsidRPr="00C210D4" w:rsidRDefault="00C210D4" w:rsidP="00B03C66">
      <w:pPr>
        <w:spacing w:before="120" w:after="0" w:line="360" w:lineRule="auto"/>
        <w:rPr>
          <w:rFonts w:ascii="Arial" w:eastAsia="Times New Roman" w:hAnsi="Arial" w:cs="Arial"/>
          <w:sz w:val="28"/>
          <w:szCs w:val="28"/>
          <w:lang w:val="en-US"/>
        </w:rPr>
      </w:pPr>
      <w:r w:rsidRPr="00C210D4">
        <w:rPr>
          <w:rFonts w:ascii="Arial" w:eastAsia="Times New Roman" w:hAnsi="Arial" w:cs="Arial"/>
          <w:sz w:val="28"/>
          <w:szCs w:val="28"/>
          <w:lang w:val="en-US"/>
        </w:rPr>
        <w:t>And if the lawsuit includes multiple requests arising from multiple sources, it is permissible to prove with the testimony of witnesses in each request whose value does not exceed five hundred dinars, even if these requests in total exceed this value, even if they are raised due to relationships between the litigants themselves or actions of the same nature. </w:t>
      </w:r>
    </w:p>
    <w:p w14:paraId="2E6EEB8F" w14:textId="77777777" w:rsidR="00C210D4" w:rsidRPr="00C210D4" w:rsidRDefault="00C210D4" w:rsidP="00B03C66">
      <w:pPr>
        <w:spacing w:before="120" w:after="0" w:line="360" w:lineRule="auto"/>
        <w:rPr>
          <w:rFonts w:ascii="Arial" w:eastAsia="Times New Roman" w:hAnsi="Arial" w:cs="Arial"/>
          <w:sz w:val="28"/>
          <w:szCs w:val="28"/>
          <w:lang w:val="en-US"/>
        </w:rPr>
      </w:pPr>
      <w:r w:rsidRPr="00C210D4">
        <w:rPr>
          <w:rFonts w:ascii="Arial" w:eastAsia="Times New Roman" w:hAnsi="Arial" w:cs="Arial"/>
          <w:sz w:val="28"/>
          <w:szCs w:val="28"/>
          <w:lang w:val="en-US"/>
        </w:rPr>
        <w:t>The fulfilment requirement if it is partial shall be to the value of the original obligation. </w:t>
      </w:r>
    </w:p>
    <w:p w14:paraId="704F8EE2" w14:textId="77777777" w:rsidR="00C210D4" w:rsidRPr="00C210D4" w:rsidRDefault="00C210D4" w:rsidP="00B03C66">
      <w:pPr>
        <w:spacing w:before="120" w:after="0" w:line="360" w:lineRule="auto"/>
        <w:rPr>
          <w:rFonts w:ascii="Arial" w:eastAsia="Times New Roman" w:hAnsi="Arial" w:cs="Arial"/>
          <w:sz w:val="28"/>
          <w:szCs w:val="28"/>
        </w:rPr>
      </w:pPr>
      <w:r w:rsidRPr="00C210D4">
        <w:rPr>
          <w:rFonts w:ascii="Arial" w:eastAsia="Times New Roman" w:hAnsi="Arial" w:cs="Arial"/>
          <w:b/>
          <w:bCs/>
          <w:sz w:val="28"/>
          <w:szCs w:val="28"/>
        </w:rPr>
        <w:t>Article (62): </w:t>
      </w:r>
    </w:p>
    <w:p w14:paraId="37296E4F" w14:textId="77777777" w:rsidR="00C210D4" w:rsidRPr="00C210D4" w:rsidRDefault="00C210D4" w:rsidP="00B03C66">
      <w:pPr>
        <w:spacing w:before="120" w:after="0" w:line="360" w:lineRule="auto"/>
        <w:rPr>
          <w:rFonts w:ascii="Arial" w:eastAsia="Times New Roman" w:hAnsi="Arial" w:cs="Arial"/>
          <w:sz w:val="28"/>
          <w:szCs w:val="28"/>
          <w:lang w:val="en-US"/>
        </w:rPr>
      </w:pPr>
      <w:r w:rsidRPr="00C210D4">
        <w:rPr>
          <w:rFonts w:ascii="Arial" w:eastAsia="Times New Roman" w:hAnsi="Arial" w:cs="Arial"/>
          <w:sz w:val="28"/>
          <w:szCs w:val="28"/>
          <w:lang w:val="en-US"/>
        </w:rPr>
        <w:t>Testimony of witnesses is not admissible, even if the value does not exceed five hundred dinars, in the following cases </w:t>
      </w:r>
    </w:p>
    <w:p w14:paraId="4B79B06E" w14:textId="77777777" w:rsidR="00C210D4" w:rsidRPr="00C210D4" w:rsidRDefault="00C210D4" w:rsidP="00B03C66">
      <w:pPr>
        <w:spacing w:before="120" w:after="0" w:line="360" w:lineRule="auto"/>
        <w:rPr>
          <w:rFonts w:ascii="Arial" w:eastAsia="Times New Roman" w:hAnsi="Arial" w:cs="Arial"/>
          <w:sz w:val="28"/>
          <w:szCs w:val="28"/>
          <w:lang w:val="en-US"/>
        </w:rPr>
      </w:pPr>
      <w:r w:rsidRPr="00C210D4">
        <w:rPr>
          <w:rFonts w:ascii="Arial" w:eastAsia="Times New Roman" w:hAnsi="Arial" w:cs="Arial"/>
          <w:sz w:val="28"/>
          <w:szCs w:val="28"/>
          <w:lang w:val="en-US"/>
        </w:rPr>
        <w:t>1. If it Contradicts or exceeds what was included in a written evidence. </w:t>
      </w:r>
    </w:p>
    <w:p w14:paraId="16723CBD" w14:textId="77777777" w:rsidR="00C210D4" w:rsidRPr="00C210D4" w:rsidRDefault="00C210D4" w:rsidP="00B03C66">
      <w:pPr>
        <w:spacing w:before="120" w:after="0" w:line="360" w:lineRule="auto"/>
        <w:rPr>
          <w:rFonts w:ascii="Arial" w:eastAsia="Times New Roman" w:hAnsi="Arial" w:cs="Arial"/>
          <w:sz w:val="28"/>
          <w:szCs w:val="28"/>
          <w:lang w:val="en-US"/>
        </w:rPr>
      </w:pPr>
      <w:r w:rsidRPr="00C210D4">
        <w:rPr>
          <w:rFonts w:ascii="Arial" w:eastAsia="Times New Roman" w:hAnsi="Arial" w:cs="Arial"/>
          <w:sz w:val="28"/>
          <w:szCs w:val="28"/>
          <w:lang w:val="en-US"/>
        </w:rPr>
        <w:t>2. If the required value is the remainder or part of a right that may not be proved except by written means.</w:t>
      </w:r>
    </w:p>
    <w:p w14:paraId="3790CACB" w14:textId="77777777" w:rsidR="00C210D4" w:rsidRPr="00C210D4" w:rsidRDefault="00C210D4" w:rsidP="00B03C66">
      <w:pPr>
        <w:spacing w:before="120" w:after="0" w:line="360" w:lineRule="auto"/>
        <w:rPr>
          <w:rFonts w:ascii="Arial" w:eastAsia="Times New Roman" w:hAnsi="Arial" w:cs="Arial"/>
          <w:sz w:val="28"/>
          <w:szCs w:val="28"/>
          <w:lang w:val="en-US"/>
        </w:rPr>
      </w:pPr>
      <w:r w:rsidRPr="00C210D4">
        <w:rPr>
          <w:rFonts w:ascii="Arial" w:eastAsia="Times New Roman" w:hAnsi="Arial" w:cs="Arial"/>
          <w:sz w:val="28"/>
          <w:szCs w:val="28"/>
          <w:lang w:val="en-US"/>
        </w:rPr>
        <w:t>If one of the litigants claimed in the lawsuit an amount exceeding five hundred dinars, then he modified his claim to an amount not exceeding this value. </w:t>
      </w:r>
    </w:p>
    <w:p w14:paraId="48C0A70F" w14:textId="77777777" w:rsidR="00C210D4" w:rsidRPr="00C210D4" w:rsidRDefault="00C210D4" w:rsidP="00B03C66">
      <w:pPr>
        <w:spacing w:before="120" w:after="0" w:line="360" w:lineRule="auto"/>
        <w:rPr>
          <w:rFonts w:ascii="Arial" w:eastAsia="Times New Roman" w:hAnsi="Arial" w:cs="Arial"/>
          <w:sz w:val="28"/>
          <w:szCs w:val="28"/>
        </w:rPr>
      </w:pPr>
      <w:r w:rsidRPr="00C210D4">
        <w:rPr>
          <w:rFonts w:ascii="Arial" w:eastAsia="Times New Roman" w:hAnsi="Arial" w:cs="Arial"/>
          <w:b/>
          <w:bCs/>
          <w:sz w:val="28"/>
          <w:szCs w:val="28"/>
        </w:rPr>
        <w:t>Article Two </w:t>
      </w:r>
    </w:p>
    <w:p w14:paraId="21D5D812" w14:textId="77777777" w:rsidR="00C210D4" w:rsidRPr="00C210D4" w:rsidRDefault="00C210D4" w:rsidP="00B03C66">
      <w:pPr>
        <w:spacing w:before="120" w:after="0" w:line="360" w:lineRule="auto"/>
        <w:rPr>
          <w:rFonts w:ascii="Arial" w:eastAsia="Times New Roman" w:hAnsi="Arial" w:cs="Arial"/>
          <w:sz w:val="28"/>
          <w:szCs w:val="28"/>
          <w:lang w:val="en-US"/>
        </w:rPr>
      </w:pPr>
      <w:r w:rsidRPr="00C210D4">
        <w:rPr>
          <w:rFonts w:ascii="Arial" w:eastAsia="Times New Roman" w:hAnsi="Arial" w:cs="Arial"/>
          <w:sz w:val="28"/>
          <w:szCs w:val="28"/>
          <w:lang w:val="en-US"/>
        </w:rPr>
        <w:t>The Prime Minister and the ministers– each within his jurisdiction- shall implement this Law, and it shall come into force from the day following the date of its publication in the Official Gazette. </w:t>
      </w:r>
    </w:p>
    <w:p w14:paraId="23CEFA6A" w14:textId="77777777" w:rsidR="00C210D4" w:rsidRPr="00C210D4" w:rsidRDefault="00C210D4" w:rsidP="00B03C66">
      <w:pPr>
        <w:spacing w:before="120" w:after="0" w:line="360" w:lineRule="auto"/>
        <w:rPr>
          <w:rFonts w:ascii="Arial" w:eastAsia="Times New Roman" w:hAnsi="Arial" w:cs="Arial"/>
          <w:sz w:val="28"/>
          <w:szCs w:val="28"/>
          <w:lang w:val="en-US"/>
        </w:rPr>
      </w:pPr>
      <w:r w:rsidRPr="00C210D4">
        <w:rPr>
          <w:rFonts w:ascii="Arial" w:eastAsia="Times New Roman" w:hAnsi="Arial" w:cs="Arial"/>
          <w:b/>
          <w:bCs/>
          <w:sz w:val="28"/>
          <w:szCs w:val="28"/>
          <w:lang w:val="en-US"/>
        </w:rPr>
        <w:t>King of the Kingdom of Bahrain </w:t>
      </w:r>
    </w:p>
    <w:p w14:paraId="5669801C" w14:textId="77777777" w:rsidR="00C210D4" w:rsidRPr="00C210D4" w:rsidRDefault="00C210D4" w:rsidP="00B03C66">
      <w:pPr>
        <w:spacing w:before="120" w:after="0" w:line="360" w:lineRule="auto"/>
        <w:rPr>
          <w:rFonts w:ascii="Arial" w:eastAsia="Times New Roman" w:hAnsi="Arial" w:cs="Arial"/>
          <w:sz w:val="28"/>
          <w:szCs w:val="28"/>
          <w:lang w:val="en-US"/>
        </w:rPr>
      </w:pPr>
      <w:r w:rsidRPr="00C210D4">
        <w:rPr>
          <w:rFonts w:ascii="Arial" w:eastAsia="Times New Roman" w:hAnsi="Arial" w:cs="Arial"/>
          <w:b/>
          <w:bCs/>
          <w:sz w:val="28"/>
          <w:szCs w:val="28"/>
          <w:lang w:val="en-US"/>
        </w:rPr>
        <w:t>Hamad bin Isa Al Khalifa, </w:t>
      </w:r>
    </w:p>
    <w:p w14:paraId="28649694" w14:textId="77777777" w:rsidR="00C210D4" w:rsidRPr="00C210D4" w:rsidRDefault="00C210D4" w:rsidP="00B03C66">
      <w:pPr>
        <w:spacing w:before="120" w:after="0" w:line="360" w:lineRule="auto"/>
        <w:rPr>
          <w:rFonts w:ascii="Arial" w:eastAsia="Times New Roman" w:hAnsi="Arial" w:cs="Arial"/>
          <w:sz w:val="28"/>
          <w:szCs w:val="28"/>
        </w:rPr>
      </w:pPr>
      <w:r w:rsidRPr="00C210D4">
        <w:rPr>
          <w:rFonts w:ascii="Arial" w:eastAsia="Times New Roman" w:hAnsi="Arial" w:cs="Arial"/>
          <w:sz w:val="28"/>
          <w:szCs w:val="28"/>
        </w:rPr>
        <w:t>Issued at Riffa Palace: </w:t>
      </w:r>
    </w:p>
    <w:p w14:paraId="35F16E87" w14:textId="77777777" w:rsidR="00C210D4" w:rsidRPr="00C210D4" w:rsidRDefault="00C210D4" w:rsidP="00B03C66">
      <w:pPr>
        <w:spacing w:before="120" w:after="0" w:line="360" w:lineRule="auto"/>
        <w:rPr>
          <w:rFonts w:ascii="Arial" w:eastAsia="Times New Roman" w:hAnsi="Arial" w:cs="Arial"/>
          <w:sz w:val="28"/>
          <w:szCs w:val="28"/>
          <w:lang w:val="en-US"/>
        </w:rPr>
      </w:pPr>
      <w:r w:rsidRPr="00C210D4">
        <w:rPr>
          <w:rFonts w:ascii="Arial" w:eastAsia="Times New Roman" w:hAnsi="Arial" w:cs="Arial"/>
          <w:sz w:val="28"/>
          <w:szCs w:val="28"/>
          <w:lang w:val="en-US"/>
        </w:rPr>
        <w:t>On 24 Jumada Al-Awwal 1430 A.H. </w:t>
      </w:r>
    </w:p>
    <w:p w14:paraId="0A2A04D1" w14:textId="77777777" w:rsidR="00C210D4" w:rsidRPr="00C210D4" w:rsidRDefault="00C210D4" w:rsidP="00B03C66">
      <w:pPr>
        <w:spacing w:before="120" w:after="0" w:line="360" w:lineRule="auto"/>
        <w:rPr>
          <w:rFonts w:ascii="Arial" w:eastAsia="Times New Roman" w:hAnsi="Arial" w:cs="Arial"/>
          <w:sz w:val="28"/>
          <w:szCs w:val="28"/>
        </w:rPr>
      </w:pPr>
      <w:r w:rsidRPr="00C210D4">
        <w:rPr>
          <w:rFonts w:ascii="Arial" w:eastAsia="Times New Roman" w:hAnsi="Arial" w:cs="Arial"/>
          <w:sz w:val="28"/>
          <w:szCs w:val="28"/>
        </w:rPr>
        <w:t>Corresponding to: 19 May 2009  </w:t>
      </w:r>
    </w:p>
    <w:p w14:paraId="09077C41" w14:textId="77777777" w:rsidR="00C210D4" w:rsidRPr="00C210D4" w:rsidRDefault="00C210D4" w:rsidP="00B03C66">
      <w:pPr>
        <w:spacing w:before="120" w:after="0" w:line="360" w:lineRule="auto"/>
        <w:rPr>
          <w:rFonts w:ascii="Arial" w:eastAsia="Times New Roman" w:hAnsi="Arial" w:cs="Arial"/>
          <w:b/>
          <w:bCs/>
          <w:sz w:val="28"/>
          <w:szCs w:val="28"/>
        </w:rPr>
      </w:pPr>
    </w:p>
    <w:p w14:paraId="7F36712C" w14:textId="77777777" w:rsidR="00C210D4" w:rsidRPr="00C210D4" w:rsidRDefault="00C210D4" w:rsidP="00B03C66">
      <w:pPr>
        <w:spacing w:before="120" w:after="0" w:line="360" w:lineRule="auto"/>
        <w:rPr>
          <w:rFonts w:ascii="Arial" w:hAnsi="Arial" w:cs="Arial"/>
          <w:sz w:val="28"/>
          <w:szCs w:val="28"/>
        </w:rPr>
      </w:pPr>
    </w:p>
    <w:sectPr w:rsidR="00C210D4" w:rsidRPr="00C210D4" w:rsidSect="00890E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87D69" w14:textId="77777777" w:rsidR="00414B87" w:rsidRDefault="00414B87">
      <w:pPr>
        <w:spacing w:after="0" w:line="240" w:lineRule="auto"/>
      </w:pPr>
      <w:r>
        <w:separator/>
      </w:r>
    </w:p>
  </w:endnote>
  <w:endnote w:type="continuationSeparator" w:id="0">
    <w:p w14:paraId="1101A752" w14:textId="77777777" w:rsidR="00414B87" w:rsidRDefault="00414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78419" w14:textId="77777777" w:rsidR="00414B87" w:rsidRDefault="00414B87">
      <w:pPr>
        <w:spacing w:after="0" w:line="240" w:lineRule="auto"/>
      </w:pPr>
      <w:r>
        <w:separator/>
      </w:r>
    </w:p>
  </w:footnote>
  <w:footnote w:type="continuationSeparator" w:id="0">
    <w:p w14:paraId="561034D9" w14:textId="77777777" w:rsidR="00414B87" w:rsidRDefault="00414B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7D"/>
    <w:rsid w:val="000129C5"/>
    <w:rsid w:val="00414B87"/>
    <w:rsid w:val="004A431F"/>
    <w:rsid w:val="00521F4E"/>
    <w:rsid w:val="00746B02"/>
    <w:rsid w:val="00815AD9"/>
    <w:rsid w:val="00890E3C"/>
    <w:rsid w:val="00A33147"/>
    <w:rsid w:val="00A67D60"/>
    <w:rsid w:val="00B03C66"/>
    <w:rsid w:val="00BC5F7D"/>
    <w:rsid w:val="00C210D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01905"/>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Revision">
    <w:name w:val="Revision"/>
    <w:uiPriority w:val="99"/>
    <w:semiHidden/>
    <w:rPr>
      <w:sz w:val="22"/>
      <w:szCs w:val="22"/>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C087B-04CC-47B0-9235-0D71F491C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2024-05-14T09:12:00Z</dcterms:created>
  <dcterms:modified xsi:type="dcterms:W3CDTF">2024-05-20T20:22:00Z</dcterms:modified>
</cp:coreProperties>
</file>