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37B0F" w14:textId="77777777" w:rsidR="00035013" w:rsidRPr="00035013" w:rsidRDefault="00035013" w:rsidP="00313BFE">
      <w:pPr>
        <w:spacing w:before="120" w:after="0" w:line="360" w:lineRule="auto"/>
        <w:rPr>
          <w:rFonts w:ascii="Arial" w:eastAsia="Times New Roman" w:hAnsi="Arial" w:cs="Arial"/>
          <w:b/>
          <w:bCs/>
          <w:sz w:val="28"/>
          <w:szCs w:val="28"/>
          <w:lang w:val="en-GB"/>
        </w:rPr>
      </w:pPr>
      <w:r w:rsidRPr="00035013">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474BD45" w14:textId="77777777" w:rsidR="00035013" w:rsidRPr="00035013" w:rsidRDefault="00035013" w:rsidP="00313BFE">
      <w:pPr>
        <w:spacing w:before="120" w:after="0" w:line="360" w:lineRule="auto"/>
        <w:rPr>
          <w:rFonts w:ascii="Arial" w:eastAsia="Times New Roman" w:hAnsi="Arial" w:cs="Arial"/>
          <w:b/>
          <w:bCs/>
          <w:sz w:val="28"/>
          <w:szCs w:val="28"/>
          <w:lang w:val="en-GB"/>
        </w:rPr>
      </w:pPr>
      <w:r w:rsidRPr="00035013">
        <w:rPr>
          <w:rFonts w:ascii="Arial" w:eastAsia="Times New Roman" w:hAnsi="Arial" w:cs="Arial"/>
          <w:b/>
          <w:bCs/>
          <w:sz w:val="28"/>
          <w:szCs w:val="28"/>
          <w:lang w:val="en-GB"/>
        </w:rPr>
        <w:t>For any corrections, remarks, or suggestions, kindly contact us on translate@lloc.gov.bh</w:t>
      </w:r>
    </w:p>
    <w:p w14:paraId="3D8E0391" w14:textId="77777777" w:rsidR="00035013" w:rsidRPr="00035013" w:rsidRDefault="00035013" w:rsidP="00313BFE">
      <w:pPr>
        <w:spacing w:before="120" w:after="0" w:line="360" w:lineRule="auto"/>
        <w:rPr>
          <w:rFonts w:ascii="Arial" w:eastAsia="Times New Roman" w:hAnsi="Arial" w:cs="Arial"/>
          <w:b/>
          <w:bCs/>
          <w:sz w:val="28"/>
          <w:szCs w:val="28"/>
          <w:lang w:val="en-GB"/>
        </w:rPr>
      </w:pPr>
      <w:r w:rsidRPr="00035013">
        <w:rPr>
          <w:rFonts w:ascii="Arial" w:eastAsia="Times New Roman" w:hAnsi="Arial" w:cs="Arial"/>
          <w:b/>
          <w:bCs/>
          <w:sz w:val="28"/>
          <w:szCs w:val="28"/>
          <w:lang w:val="en-GB"/>
        </w:rPr>
        <w:t>Published on the website on May 2024</w:t>
      </w:r>
      <w:r w:rsidRPr="00035013">
        <w:rPr>
          <w:rFonts w:ascii="Arial" w:eastAsia="Times New Roman" w:hAnsi="Arial" w:cs="Arial"/>
          <w:b/>
          <w:bCs/>
          <w:sz w:val="28"/>
          <w:szCs w:val="28"/>
          <w:lang w:val="en-GB"/>
        </w:rPr>
        <w:br w:type="page"/>
      </w:r>
    </w:p>
    <w:p w14:paraId="0C2BA320"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b/>
          <w:bCs/>
          <w:sz w:val="28"/>
          <w:szCs w:val="28"/>
          <w:lang w:val="en-GB"/>
        </w:rPr>
        <w:lastRenderedPageBreak/>
        <w:t>Law No. (16) of 2016 ratifying the amendment of the Third Paragraph of Article One of the Arab Convention for the Suppression of Terrorism </w:t>
      </w:r>
    </w:p>
    <w:p w14:paraId="011DC71D"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sz w:val="28"/>
          <w:szCs w:val="28"/>
          <w:lang w:val="en-GB"/>
        </w:rPr>
        <w:br w:type="page"/>
      </w:r>
    </w:p>
    <w:p w14:paraId="6E6C57C2"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sz w:val="28"/>
          <w:szCs w:val="28"/>
          <w:lang w:val="en-GB"/>
        </w:rPr>
        <w:t>We, Hamad bin Isa Al Khalifa, King of the Kingdom of Bahrain. </w:t>
      </w:r>
    </w:p>
    <w:p w14:paraId="4D6F9E78"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sz w:val="28"/>
          <w:szCs w:val="28"/>
          <w:lang w:val="en-GB"/>
        </w:rPr>
        <w:t>Having reviewed the Constitution; </w:t>
      </w:r>
    </w:p>
    <w:p w14:paraId="4E1F43AD"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sz w:val="28"/>
          <w:szCs w:val="28"/>
          <w:lang w:val="en-GB"/>
        </w:rPr>
        <w:t>Law No. (58) of 2006 regarding Protection of the Community from the Acts of Terrorism, as amended; </w:t>
      </w:r>
    </w:p>
    <w:p w14:paraId="207414C6"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sz w:val="28"/>
          <w:szCs w:val="28"/>
          <w:lang w:val="en-GB"/>
        </w:rPr>
        <w:t>Legislative Decree No.(15) of 1998 regarding ratifying the Arab Convention for the Suppression of Terrorism; </w:t>
      </w:r>
    </w:p>
    <w:p w14:paraId="204DAA00"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sz w:val="28"/>
          <w:szCs w:val="28"/>
          <w:lang w:val="en-GB"/>
        </w:rPr>
        <w:t>And the amendment to the text of the third paragraph of Article One of the Arab Convention for the Suppression of Terrorism contained in the definition of (terrorist offence), which was approved by the Council of Arab Ministers of Justice in accordance with Decision No. 648-D22-29 /11/2006. </w:t>
      </w:r>
    </w:p>
    <w:p w14:paraId="5E7F9312"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sz w:val="28"/>
          <w:szCs w:val="28"/>
          <w:lang w:val="en-GB"/>
        </w:rPr>
        <w:t>The Shura Council and the Council of Representatives have approved the following Law, which we have ratified and enacted: </w:t>
      </w:r>
    </w:p>
    <w:p w14:paraId="5F3A07E8"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b/>
          <w:bCs/>
          <w:sz w:val="28"/>
          <w:szCs w:val="28"/>
          <w:lang w:val="en-GB"/>
        </w:rPr>
        <w:t>Article One </w:t>
      </w:r>
    </w:p>
    <w:p w14:paraId="504E3E79"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sz w:val="28"/>
          <w:szCs w:val="28"/>
          <w:lang w:val="en-GB"/>
        </w:rPr>
        <w:t>An amendment to the text of the third paragraph of Article One of the Arab Convention for the Suppression of Terrorism contained in the definition of (terrorist offence), which was approved by the Council of Arab Ministers of Justice in accordance with Decision No. 648-D22-29 /11/2006, was ratified. </w:t>
      </w:r>
    </w:p>
    <w:p w14:paraId="64BF9713"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b/>
          <w:bCs/>
          <w:sz w:val="28"/>
          <w:szCs w:val="28"/>
          <w:lang w:val="en-GB"/>
        </w:rPr>
        <w:t>Article Two </w:t>
      </w:r>
    </w:p>
    <w:p w14:paraId="25139C0E"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sz w:val="28"/>
          <w:szCs w:val="28"/>
          <w:lang w:val="en-GB"/>
        </w:rPr>
        <w:t>The Prime Minister and the Ministers - each within his jurisdiction - shall implement this Law, and it shall come into force from the day following the date of its publication in the Official Gazette. </w:t>
      </w:r>
    </w:p>
    <w:p w14:paraId="7C568AFE"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b/>
          <w:bCs/>
          <w:sz w:val="28"/>
          <w:szCs w:val="28"/>
          <w:lang w:val="en-GB"/>
        </w:rPr>
        <w:t>King of the Kingdom of Bahrain </w:t>
      </w:r>
    </w:p>
    <w:p w14:paraId="1F1F1E2C"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b/>
          <w:bCs/>
          <w:sz w:val="28"/>
          <w:szCs w:val="28"/>
          <w:lang w:val="en-GB"/>
        </w:rPr>
        <w:t>Hamad bin Isa Al Khalifa </w:t>
      </w:r>
    </w:p>
    <w:p w14:paraId="07D5470B"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sz w:val="28"/>
          <w:szCs w:val="28"/>
          <w:lang w:val="en-GB"/>
        </w:rPr>
        <w:t>Issued at Riffa Palace </w:t>
      </w:r>
    </w:p>
    <w:p w14:paraId="1C13284C"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sz w:val="28"/>
          <w:szCs w:val="28"/>
          <w:lang w:val="en-GB"/>
        </w:rPr>
        <w:t>On: 9 Shawwal 1437 A.H. </w:t>
      </w:r>
    </w:p>
    <w:p w14:paraId="25FDA109"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sz w:val="28"/>
          <w:szCs w:val="28"/>
          <w:lang w:val="en-GB"/>
        </w:rPr>
        <w:t>Corresponding to: 14 July 2016 </w:t>
      </w:r>
    </w:p>
    <w:p w14:paraId="0E179D4E"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b/>
          <w:bCs/>
          <w:sz w:val="28"/>
          <w:szCs w:val="28"/>
          <w:lang w:val="en-GB"/>
        </w:rPr>
        <w:t>The text of the amendment to the third paragraph of Article One of the Arab Convention for the Suppression of Terrorism, which was approved by the Council of Arab Ministers of Justice in accordance with Decision No. 648-D22-29 /11/2006 </w:t>
      </w:r>
    </w:p>
    <w:p w14:paraId="3AFA744E"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b/>
          <w:bCs/>
          <w:sz w:val="28"/>
          <w:szCs w:val="28"/>
          <w:lang w:val="en-GB"/>
        </w:rPr>
        <w:t>Part One: Definitions and General Provisions </w:t>
      </w:r>
    </w:p>
    <w:p w14:paraId="354CAC4D"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b/>
          <w:bCs/>
          <w:sz w:val="28"/>
          <w:szCs w:val="28"/>
          <w:lang w:val="en-GB"/>
        </w:rPr>
        <w:t>Article One: Third Paragraph </w:t>
      </w:r>
    </w:p>
    <w:p w14:paraId="597AE940"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b/>
          <w:bCs/>
          <w:sz w:val="28"/>
          <w:szCs w:val="28"/>
          <w:lang w:val="en-GB"/>
        </w:rPr>
        <w:t>Terrorist Offence </w:t>
      </w:r>
    </w:p>
    <w:p w14:paraId="5B532FF0"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sz w:val="28"/>
          <w:szCs w:val="28"/>
          <w:lang w:val="en-GB"/>
        </w:rPr>
        <w:t>Any offence or attempted offence committed in furtherance of a terrorist objective in any contracting state or against their nationals, property, or interests that is punishable by their domestic law, including incitement or commendation of terrorist offences and the publication, printing, or preparation of publishers, publications, or recordings of any kind for distribution or disclosure to others, with the aim of encouraging the commission of such offences. </w:t>
      </w:r>
    </w:p>
    <w:p w14:paraId="2162F569"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sz w:val="28"/>
          <w:szCs w:val="28"/>
          <w:lang w:val="en-GB"/>
        </w:rPr>
        <w:t>Providing or collecting funds of any kind to finance terrorist crimes while being aware of this is considered a terrorist offence. </w:t>
      </w:r>
    </w:p>
    <w:p w14:paraId="6C6D9435"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sz w:val="28"/>
          <w:szCs w:val="28"/>
          <w:lang w:val="en-GB"/>
        </w:rPr>
        <w:t>The offences listed in the following conventions are also considered terrorist offences, with the exception of those excluded by the legislation of the Contracting States or not ratified by them: </w:t>
      </w:r>
    </w:p>
    <w:p w14:paraId="42DBB801"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sz w:val="28"/>
          <w:szCs w:val="28"/>
          <w:lang w:val="en-GB"/>
        </w:rPr>
        <w:t>a) The Tokyo Convention on offences and Certain Other Acts Committed on Board Aircraft, signed on 14/09/1963. </w:t>
      </w:r>
    </w:p>
    <w:p w14:paraId="022ED6DC"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sz w:val="28"/>
          <w:szCs w:val="28"/>
          <w:lang w:val="en-GB"/>
        </w:rPr>
        <w:t>b) The Hague Convention for the Suppression of Unlawful Seizure of Aircraft, signed on 16/12/1970. </w:t>
      </w:r>
    </w:p>
    <w:p w14:paraId="59F556E4"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sz w:val="28"/>
          <w:szCs w:val="28"/>
          <w:lang w:val="en-GB"/>
        </w:rPr>
        <w:t>c) The Montreal Convention for the Suppression of Unlawful Acts against the Safety of Civil Aviation, signed on 23/09/1971, and the Protocol thereto signed in Montreal on 5/10/1984. </w:t>
      </w:r>
    </w:p>
    <w:p w14:paraId="34133FAC"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sz w:val="28"/>
          <w:szCs w:val="28"/>
          <w:lang w:val="en-GB"/>
        </w:rPr>
        <w:t>d) The New York Convention on the Prevention and Punishment of Crimes against Internationally Protected Persons, including Diplomatic Representatives, signed on 14/12/1973. </w:t>
      </w:r>
    </w:p>
    <w:p w14:paraId="617E87F8"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sz w:val="28"/>
          <w:szCs w:val="28"/>
          <w:lang w:val="en-GB"/>
        </w:rPr>
        <w:t>e) The Convention against the Taking of Hostages, signed on 17/12/1979. </w:t>
      </w:r>
    </w:p>
    <w:p w14:paraId="4E3310CE" w14:textId="77777777" w:rsidR="00035013" w:rsidRPr="00035013" w:rsidRDefault="00035013" w:rsidP="00313BFE">
      <w:pPr>
        <w:spacing w:before="120" w:after="0" w:line="360" w:lineRule="auto"/>
        <w:rPr>
          <w:rFonts w:ascii="Arial" w:eastAsia="Times New Roman" w:hAnsi="Arial" w:cs="Arial"/>
          <w:sz w:val="28"/>
          <w:szCs w:val="28"/>
          <w:lang w:val="en-GB"/>
        </w:rPr>
      </w:pPr>
      <w:r w:rsidRPr="00035013">
        <w:rPr>
          <w:rFonts w:ascii="Arial" w:eastAsia="Times New Roman" w:hAnsi="Arial" w:cs="Arial"/>
          <w:sz w:val="28"/>
          <w:szCs w:val="28"/>
          <w:lang w:val="en-GB"/>
        </w:rPr>
        <w:t>f) The United Nations Convention on the Law of the Sea, of 1982, relating to piracy on the high seas. </w:t>
      </w:r>
    </w:p>
    <w:p w14:paraId="18189544" w14:textId="77777777" w:rsidR="00035013" w:rsidRPr="00035013" w:rsidRDefault="00035013" w:rsidP="00313BFE">
      <w:pPr>
        <w:spacing w:before="120" w:after="0" w:line="360" w:lineRule="auto"/>
        <w:rPr>
          <w:rFonts w:ascii="Arial" w:eastAsia="Times New Roman" w:hAnsi="Arial" w:cs="Arial"/>
          <w:b/>
          <w:bCs/>
          <w:sz w:val="28"/>
          <w:szCs w:val="28"/>
        </w:rPr>
      </w:pPr>
    </w:p>
    <w:p w14:paraId="022310CC" w14:textId="77777777" w:rsidR="00035013" w:rsidRPr="00035013" w:rsidRDefault="00035013" w:rsidP="00313BFE">
      <w:pPr>
        <w:spacing w:before="120" w:after="0" w:line="360" w:lineRule="auto"/>
        <w:rPr>
          <w:rFonts w:ascii="Arial" w:hAnsi="Arial" w:cs="Arial"/>
          <w:sz w:val="28"/>
          <w:szCs w:val="28"/>
        </w:rPr>
      </w:pPr>
    </w:p>
    <w:sectPr w:rsidR="00035013" w:rsidRPr="00035013" w:rsidSect="00D53964">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CDBADA" w14:textId="77777777" w:rsidR="00035013" w:rsidRDefault="00035013">
      <w:pPr>
        <w:spacing w:after="0" w:line="240" w:lineRule="auto"/>
      </w:pPr>
      <w:r>
        <w:separator/>
      </w:r>
    </w:p>
  </w:endnote>
  <w:endnote w:type="continuationSeparator" w:id="0">
    <w:p w14:paraId="0B81CDB0" w14:textId="77777777" w:rsidR="00035013" w:rsidRDefault="0003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048103" w14:textId="77777777" w:rsidR="00035013" w:rsidRDefault="00035013">
      <w:pPr>
        <w:spacing w:after="0" w:line="240" w:lineRule="auto"/>
      </w:pPr>
      <w:r>
        <w:separator/>
      </w:r>
    </w:p>
  </w:footnote>
  <w:footnote w:type="continuationSeparator" w:id="0">
    <w:p w14:paraId="4DB70E40" w14:textId="77777777" w:rsidR="00035013" w:rsidRDefault="00035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D3AB24" w14:textId="77777777" w:rsidR="00035013" w:rsidRDefault="00035013">
    <w:pPr>
      <w:pStyle w:val="Header"/>
    </w:pPr>
    <w:r>
      <w:t>K1616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324"/>
    <w:rsid w:val="000129C5"/>
    <w:rsid w:val="00035013"/>
    <w:rsid w:val="00087324"/>
    <w:rsid w:val="00313BFE"/>
    <w:rsid w:val="00521F4E"/>
    <w:rsid w:val="00815AD9"/>
    <w:rsid w:val="00D539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48E83"/>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