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565F7"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5D5A38C"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For any corrections, remarks, or suggestions, kindly contact us on translate@lloc.gov.bh</w:t>
      </w:r>
    </w:p>
    <w:p w14:paraId="7FF02492"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Published on the website on May 2024</w:t>
      </w:r>
      <w:r w:rsidRPr="00A64FE0">
        <w:rPr>
          <w:rFonts w:ascii="Arial" w:hAnsi="Arial" w:cs="Arial"/>
          <w:b/>
          <w:bCs/>
        </w:rPr>
        <w:br w:type="page"/>
      </w:r>
    </w:p>
    <w:p w14:paraId="3AB7F8C3" w14:textId="77777777" w:rsidR="00A64FE0" w:rsidRPr="00A64FE0" w:rsidRDefault="00A64FE0" w:rsidP="0001759C">
      <w:pPr>
        <w:spacing w:before="120" w:after="0" w:line="360" w:lineRule="auto"/>
        <w:jc w:val="center"/>
        <w:rPr>
          <w:rFonts w:ascii="Arial" w:hAnsi="Arial" w:cs="Arial"/>
          <w:b/>
          <w:bCs/>
          <w:lang w:bidi="ar-EG"/>
        </w:rPr>
      </w:pPr>
      <w:r w:rsidRPr="00A64FE0">
        <w:rPr>
          <w:rFonts w:ascii="Arial" w:hAnsi="Arial" w:cs="Arial"/>
          <w:b/>
          <w:bCs/>
        </w:rPr>
        <w:lastRenderedPageBreak/>
        <w:t>Law No. (13) of 2021</w:t>
      </w:r>
    </w:p>
    <w:p w14:paraId="3ECF3744" w14:textId="77777777" w:rsidR="00A64FE0" w:rsidRPr="00A64FE0" w:rsidRDefault="00A64FE0" w:rsidP="0001759C">
      <w:pPr>
        <w:spacing w:before="120" w:after="0" w:line="360" w:lineRule="auto"/>
        <w:jc w:val="center"/>
        <w:rPr>
          <w:rFonts w:ascii="Arial" w:hAnsi="Arial" w:cs="Arial"/>
          <w:b/>
          <w:bCs/>
          <w:lang w:bidi="ar-EG"/>
        </w:rPr>
      </w:pPr>
      <w:r w:rsidRPr="00A64FE0">
        <w:rPr>
          <w:rFonts w:ascii="Arial" w:hAnsi="Arial" w:cs="Arial"/>
          <w:b/>
          <w:bCs/>
          <w:lang w:bidi="ar-EG"/>
        </w:rPr>
        <w:t xml:space="preserve">Approving the Accession of the Kingdom of Bahrain to the </w:t>
      </w:r>
      <w:r w:rsidRPr="00A64FE0">
        <w:rPr>
          <w:rFonts w:ascii="Arial" w:hAnsi="Arial" w:cs="Arial"/>
          <w:b/>
          <w:bCs/>
        </w:rPr>
        <w:t>Convention on Registration of Objects Launched into Outer Space</w:t>
      </w:r>
    </w:p>
    <w:p w14:paraId="2E881128"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br w:type="page"/>
      </w:r>
    </w:p>
    <w:p w14:paraId="35070320" w14:textId="77777777" w:rsidR="00A64FE0" w:rsidRPr="00A64FE0" w:rsidRDefault="00A64FE0" w:rsidP="0001759C">
      <w:pPr>
        <w:spacing w:before="120" w:after="0" w:line="360" w:lineRule="auto"/>
        <w:rPr>
          <w:rFonts w:ascii="Arial" w:hAnsi="Arial" w:cs="Arial"/>
          <w:b/>
          <w:bCs/>
          <w:lang w:bidi="ar-EG"/>
        </w:rPr>
      </w:pPr>
      <w:r w:rsidRPr="00A64FE0">
        <w:rPr>
          <w:rFonts w:ascii="Arial" w:hAnsi="Arial" w:cs="Arial"/>
          <w:b/>
          <w:bCs/>
        </w:rPr>
        <w:t xml:space="preserve">We, Hamad bin Isa Al Khalifa, </w:t>
      </w:r>
    </w:p>
    <w:p w14:paraId="690FA310"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King of the Kingdom of Bahrain.</w:t>
      </w:r>
    </w:p>
    <w:p w14:paraId="17EF7EBF" w14:textId="77777777" w:rsidR="00A64FE0" w:rsidRPr="00A64FE0" w:rsidRDefault="00A64FE0" w:rsidP="0001759C">
      <w:pPr>
        <w:spacing w:before="120" w:after="0" w:line="360" w:lineRule="auto"/>
        <w:rPr>
          <w:rFonts w:ascii="Arial" w:hAnsi="Arial" w:cs="Arial"/>
        </w:rPr>
      </w:pPr>
      <w:r w:rsidRPr="00A64FE0">
        <w:rPr>
          <w:rFonts w:ascii="Arial" w:hAnsi="Arial" w:cs="Arial"/>
        </w:rPr>
        <w:t>Having reviewed the Constitution;</w:t>
      </w:r>
    </w:p>
    <w:p w14:paraId="59DE285F" w14:textId="77777777" w:rsidR="00A64FE0" w:rsidRPr="00A64FE0" w:rsidRDefault="00A64FE0" w:rsidP="0001759C">
      <w:pPr>
        <w:spacing w:before="120" w:after="0" w:line="360" w:lineRule="auto"/>
        <w:rPr>
          <w:rFonts w:ascii="Arial" w:hAnsi="Arial" w:cs="Arial"/>
        </w:rPr>
      </w:pPr>
      <w:r w:rsidRPr="00A64FE0">
        <w:rPr>
          <w:rFonts w:ascii="Arial" w:hAnsi="Arial" w:cs="Arial"/>
        </w:rPr>
        <w:t xml:space="preserve">And the Convention on Registration of Objects Launched into Outer Space, adopted by UN General Assembly via Resolution (D-29) dated 12 November 1974; </w:t>
      </w:r>
    </w:p>
    <w:p w14:paraId="3ABFAD30" w14:textId="77777777" w:rsidR="00A64FE0" w:rsidRPr="00A64FE0" w:rsidRDefault="00A64FE0" w:rsidP="0001759C">
      <w:pPr>
        <w:spacing w:before="120" w:after="0" w:line="360" w:lineRule="auto"/>
        <w:rPr>
          <w:rFonts w:ascii="Arial" w:hAnsi="Arial" w:cs="Arial"/>
        </w:rPr>
      </w:pPr>
      <w:r w:rsidRPr="00A64FE0">
        <w:rPr>
          <w:rFonts w:ascii="Arial" w:hAnsi="Arial" w:cs="Arial"/>
        </w:rPr>
        <w:t xml:space="preserve"> The Shura Council and the Council of Representatives have approved the following Law, which we have ratified and enacted:</w:t>
      </w:r>
    </w:p>
    <w:p w14:paraId="6663DAC2" w14:textId="77777777" w:rsidR="00A64FE0" w:rsidRPr="00A64FE0" w:rsidRDefault="00A64FE0" w:rsidP="0001759C">
      <w:pPr>
        <w:spacing w:before="120" w:after="0" w:line="360" w:lineRule="auto"/>
        <w:jc w:val="center"/>
        <w:rPr>
          <w:rFonts w:ascii="Arial" w:hAnsi="Arial" w:cs="Arial"/>
          <w:b/>
          <w:bCs/>
          <w:lang w:bidi="ar-EG"/>
        </w:rPr>
      </w:pPr>
      <w:r w:rsidRPr="00A64FE0">
        <w:rPr>
          <w:rFonts w:ascii="Arial" w:hAnsi="Arial" w:cs="Arial"/>
          <w:b/>
          <w:bCs/>
          <w:lang w:bidi="ar-EG"/>
        </w:rPr>
        <w:t>Article One</w:t>
      </w:r>
    </w:p>
    <w:p w14:paraId="1FCC39E4" w14:textId="77777777" w:rsidR="00A64FE0" w:rsidRPr="00A64FE0" w:rsidRDefault="00A64FE0" w:rsidP="0001759C">
      <w:pPr>
        <w:spacing w:before="120" w:after="0" w:line="360" w:lineRule="auto"/>
        <w:rPr>
          <w:rFonts w:ascii="Arial" w:hAnsi="Arial" w:cs="Arial"/>
          <w:b/>
          <w:bCs/>
          <w:lang w:bidi="ar-EG"/>
        </w:rPr>
      </w:pPr>
      <w:r w:rsidRPr="00A64FE0">
        <w:rPr>
          <w:rFonts w:ascii="Arial" w:hAnsi="Arial" w:cs="Arial"/>
          <w:lang w:val="en-US"/>
        </w:rPr>
        <w:t>The</w:t>
      </w:r>
      <w:r w:rsidRPr="00A64FE0">
        <w:rPr>
          <w:rFonts w:ascii="Arial" w:hAnsi="Arial" w:cs="Arial"/>
        </w:rPr>
        <w:t xml:space="preserve"> Convention on Registration of Objects Launched into Outer Space, adopted by UN General Assembly via Resolution (D-29) dated 12 November 1974, attached to this Law, has been ratified.</w:t>
      </w:r>
    </w:p>
    <w:p w14:paraId="78D5AB81" w14:textId="77777777" w:rsidR="00A64FE0" w:rsidRPr="00A64FE0" w:rsidRDefault="00A64FE0" w:rsidP="0001759C">
      <w:pPr>
        <w:spacing w:before="120" w:after="0" w:line="360" w:lineRule="auto"/>
        <w:jc w:val="center"/>
        <w:rPr>
          <w:rFonts w:ascii="Arial" w:hAnsi="Arial" w:cs="Arial"/>
          <w:b/>
          <w:bCs/>
          <w:lang w:bidi="ar-EG"/>
        </w:rPr>
      </w:pPr>
      <w:r w:rsidRPr="00A64FE0">
        <w:rPr>
          <w:rFonts w:ascii="Arial" w:hAnsi="Arial" w:cs="Arial"/>
          <w:b/>
          <w:bCs/>
          <w:lang w:bidi="ar-EG"/>
        </w:rPr>
        <w:t>Article Two</w:t>
      </w:r>
    </w:p>
    <w:p w14:paraId="38215F3D" w14:textId="77777777" w:rsidR="00A64FE0" w:rsidRPr="00A64FE0" w:rsidRDefault="00A64FE0" w:rsidP="0001759C">
      <w:pPr>
        <w:spacing w:before="120" w:after="0" w:line="360" w:lineRule="auto"/>
        <w:rPr>
          <w:rFonts w:ascii="Arial" w:hAnsi="Arial" w:cs="Arial"/>
        </w:rPr>
      </w:pPr>
      <w:r w:rsidRPr="00A64FE0">
        <w:rPr>
          <w:rFonts w:ascii="Arial" w:hAnsi="Arial" w:cs="Arial"/>
        </w:rPr>
        <w:t>The Prime Minister and Ministers– each within his jurisdiction- shall implement the provisions of this Law, and it shall come into force from the day following the date of its publication in the Official Gazette.</w:t>
      </w:r>
    </w:p>
    <w:p w14:paraId="734F65DF" w14:textId="77777777" w:rsidR="00A64FE0" w:rsidRPr="00A64FE0" w:rsidRDefault="00A64FE0" w:rsidP="0001759C">
      <w:pPr>
        <w:spacing w:before="120" w:after="0" w:line="360" w:lineRule="auto"/>
        <w:rPr>
          <w:rFonts w:ascii="Arial" w:hAnsi="Arial" w:cs="Arial"/>
          <w:b/>
          <w:bCs/>
          <w:lang w:bidi="ar-EG"/>
        </w:rPr>
      </w:pPr>
      <w:r w:rsidRPr="00A64FE0">
        <w:rPr>
          <w:rFonts w:ascii="Arial" w:hAnsi="Arial" w:cs="Arial"/>
          <w:b/>
          <w:bCs/>
        </w:rPr>
        <w:t>King of the Kingdom of Bahrain</w:t>
      </w:r>
    </w:p>
    <w:p w14:paraId="48041D7D" w14:textId="77777777" w:rsidR="00A64FE0" w:rsidRPr="00A64FE0" w:rsidRDefault="00A64FE0" w:rsidP="0001759C">
      <w:pPr>
        <w:spacing w:before="120" w:after="0" w:line="360" w:lineRule="auto"/>
        <w:rPr>
          <w:rFonts w:ascii="Arial" w:hAnsi="Arial" w:cs="Arial"/>
          <w:b/>
          <w:bCs/>
          <w:lang w:bidi="ar-EG"/>
        </w:rPr>
      </w:pPr>
      <w:r w:rsidRPr="00A64FE0">
        <w:rPr>
          <w:rFonts w:ascii="Arial" w:hAnsi="Arial" w:cs="Arial"/>
          <w:b/>
          <w:bCs/>
        </w:rPr>
        <w:t>Hamad bin Isa Al Khalifa</w:t>
      </w:r>
    </w:p>
    <w:p w14:paraId="60EC1974"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Issued at Riffa Palace:</w:t>
      </w:r>
    </w:p>
    <w:p w14:paraId="5C995733" w14:textId="77777777" w:rsidR="00A64FE0" w:rsidRPr="00A64FE0" w:rsidRDefault="00A64FE0" w:rsidP="0001759C">
      <w:pPr>
        <w:spacing w:before="120" w:after="0" w:line="360" w:lineRule="auto"/>
        <w:rPr>
          <w:rFonts w:ascii="Arial" w:hAnsi="Arial" w:cs="Arial"/>
          <w:b/>
          <w:bCs/>
        </w:rPr>
      </w:pPr>
      <w:r w:rsidRPr="00A64FE0">
        <w:rPr>
          <w:rFonts w:ascii="Arial" w:hAnsi="Arial" w:cs="Arial"/>
          <w:b/>
          <w:bCs/>
        </w:rPr>
        <w:t>On: 12 Dhu al-Qi`dah 1442 A.H.</w:t>
      </w:r>
    </w:p>
    <w:p w14:paraId="01B31420" w14:textId="77777777" w:rsidR="00A64FE0" w:rsidRPr="00A64FE0" w:rsidRDefault="00A64FE0" w:rsidP="0001759C">
      <w:pPr>
        <w:spacing w:before="120" w:after="0" w:line="360" w:lineRule="auto"/>
        <w:rPr>
          <w:rFonts w:ascii="Arial" w:hAnsi="Arial" w:cs="Arial"/>
          <w:b/>
          <w:bCs/>
          <w:lang w:bidi="ar-EG"/>
        </w:rPr>
      </w:pPr>
      <w:r w:rsidRPr="00A64FE0">
        <w:rPr>
          <w:rFonts w:ascii="Arial" w:hAnsi="Arial" w:cs="Arial"/>
          <w:b/>
          <w:bCs/>
        </w:rPr>
        <w:t>Corresponding to: 22 June 2021</w:t>
      </w:r>
    </w:p>
    <w:p w14:paraId="4E17C5DF" w14:textId="77777777" w:rsidR="00A64FE0" w:rsidRPr="00A64FE0" w:rsidRDefault="00A64FE0" w:rsidP="0001759C">
      <w:pPr>
        <w:spacing w:before="120" w:after="0" w:line="360" w:lineRule="auto"/>
        <w:jc w:val="center"/>
        <w:rPr>
          <w:rFonts w:ascii="Arial" w:hAnsi="Arial" w:cs="Arial"/>
          <w:b/>
          <w:bCs/>
          <w:lang w:bidi="ar-EG"/>
        </w:rPr>
      </w:pPr>
    </w:p>
    <w:p w14:paraId="010EE957" w14:textId="77777777" w:rsidR="00A64FE0" w:rsidRPr="00A64FE0" w:rsidRDefault="00A64FE0" w:rsidP="0001759C">
      <w:pPr>
        <w:spacing w:before="120" w:after="0" w:line="360" w:lineRule="auto"/>
        <w:rPr>
          <w:rFonts w:ascii="Arial" w:hAnsi="Arial" w:cs="Arial"/>
        </w:rPr>
      </w:pPr>
      <w:r w:rsidRPr="00A64FE0">
        <w:rPr>
          <w:rFonts w:ascii="Arial" w:hAnsi="Arial" w:cs="Arial"/>
          <w:b/>
          <w:bCs/>
        </w:rPr>
        <w:t>Convention on Registration of Objects Launched into Outer Space</w:t>
      </w:r>
    </w:p>
    <w:p w14:paraId="341A533F" w14:textId="77777777" w:rsidR="00A64FE0" w:rsidRPr="00A64FE0" w:rsidRDefault="00A64FE0" w:rsidP="0001759C">
      <w:pPr>
        <w:spacing w:before="120" w:after="0" w:line="360" w:lineRule="auto"/>
        <w:rPr>
          <w:rFonts w:ascii="Arial" w:hAnsi="Arial" w:cs="Arial"/>
        </w:rPr>
      </w:pPr>
      <w:r w:rsidRPr="00A64FE0">
        <w:rPr>
          <w:rFonts w:ascii="Arial" w:hAnsi="Arial" w:cs="Arial"/>
        </w:rPr>
        <w:t>The States Parties to this Convention,</w:t>
      </w:r>
    </w:p>
    <w:p w14:paraId="70F86AE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Recognizing the common interest of all mankind in furthering the exploration and use of outer space for peaceful purposes,</w:t>
      </w:r>
    </w:p>
    <w:p w14:paraId="052A3584"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Recalling that the Treaty on Principles Governing the Activities of States in the Exploration and Use of Outer Space, including the Moon and Other Celestial Bodies of 27 January 1967 affirms that States shall bear international responsibility for their national activities in outer space and refers to the State on whose registry an object launched into outer space is carried,</w:t>
      </w:r>
    </w:p>
    <w:p w14:paraId="3F53C22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Recalling also that the Agreement on the Rescue of Astronauts, the Return of Astronauts and the Return of Objects Launched into Outer Space of 22 April 1968 provides that a launching authority shall, upon request, furnish identifying data prior to the return of an object it has launched into outer space found beyond the territorial limits of the launching authority,</w:t>
      </w:r>
    </w:p>
    <w:p w14:paraId="0B4B0FCF"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Recalling further that the Convention on International Liability for Damage</w:t>
      </w:r>
    </w:p>
    <w:p w14:paraId="59AA24EE"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Caused by Space Objects of 29 March 1972 establishes international rules and procedures concerning the liability of launching States for damage caused by their space objects,</w:t>
      </w:r>
    </w:p>
    <w:p w14:paraId="6F57A92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Desiring, in the light of the Treaty on Principles Governing the Activities of States in the Exploration and Use of Outer Space, including the Moon and Other Celestial Bodies, to make provision for the national registration by launching States of space objects launched into outer space,</w:t>
      </w:r>
    </w:p>
    <w:p w14:paraId="1101568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Desiring further that a central register of objects launched into outer space be established and maintained, on a mandatory basis, by the Secretary-General of the United Nations,</w:t>
      </w:r>
    </w:p>
    <w:p w14:paraId="7B620BC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Desiring also to provide for States Parties additional means and procedures to assist in the identification of space objects,</w:t>
      </w:r>
    </w:p>
    <w:p w14:paraId="7B6BBA9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Believing that a mandatory system of registering objects launched into outer space would, in particular, assist in their identification and would contribute to the application and development of international law governing the exploration</w:t>
      </w:r>
    </w:p>
    <w:p w14:paraId="6EE254A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and use of outer space,</w:t>
      </w:r>
    </w:p>
    <w:p w14:paraId="7BD55E41"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Have agreed on the following:</w:t>
      </w:r>
    </w:p>
    <w:p w14:paraId="438DE59D" w14:textId="77777777" w:rsidR="00A64FE0" w:rsidRPr="00A64FE0" w:rsidRDefault="00A64FE0" w:rsidP="0001759C">
      <w:pPr>
        <w:autoSpaceDE w:val="0"/>
        <w:autoSpaceDN w:val="0"/>
        <w:adjustRightInd w:val="0"/>
        <w:spacing w:before="120" w:after="0" w:line="360" w:lineRule="auto"/>
        <w:rPr>
          <w:rFonts w:ascii="Arial" w:hAnsi="Arial" w:cs="Arial"/>
          <w:b/>
          <w:bCs/>
        </w:rPr>
      </w:pPr>
      <w:r w:rsidRPr="00A64FE0">
        <w:rPr>
          <w:rFonts w:ascii="Arial" w:hAnsi="Arial" w:cs="Arial"/>
          <w:b/>
          <w:bCs/>
        </w:rPr>
        <w:t>Article I</w:t>
      </w:r>
    </w:p>
    <w:p w14:paraId="35AE9792" w14:textId="77777777" w:rsidR="00A64FE0" w:rsidRPr="00A64FE0" w:rsidRDefault="00A64FE0" w:rsidP="0001759C">
      <w:pPr>
        <w:autoSpaceDE w:val="0"/>
        <w:autoSpaceDN w:val="0"/>
        <w:adjustRightInd w:val="0"/>
        <w:spacing w:before="120" w:after="0" w:line="360" w:lineRule="auto"/>
        <w:rPr>
          <w:rFonts w:ascii="Arial" w:hAnsi="Arial" w:cs="Arial"/>
          <w:b/>
          <w:bCs/>
        </w:rPr>
      </w:pPr>
      <w:r w:rsidRPr="00A64FE0">
        <w:rPr>
          <w:rFonts w:ascii="Arial" w:hAnsi="Arial" w:cs="Arial"/>
        </w:rPr>
        <w:t>For the purposes of this Convention:</w:t>
      </w:r>
    </w:p>
    <w:p w14:paraId="05F98639"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 The term "launching State" means:</w:t>
      </w:r>
    </w:p>
    <w:p w14:paraId="509EE57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 A State which launches or procures the launching of a space object;</w:t>
      </w:r>
    </w:p>
    <w:p w14:paraId="7AD4E462"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(ii) A State from whose territory or facility a space object is launched;</w:t>
      </w:r>
    </w:p>
    <w:p w14:paraId="544A769E"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(b) The term "space object" includes component parts of a space object as well as its launch vehicle and parts thereof;</w:t>
      </w:r>
    </w:p>
    <w:p w14:paraId="47B55E5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(c) The term "State of registry" means a launching State on whose registry a</w:t>
      </w:r>
    </w:p>
    <w:p w14:paraId="13F132BC"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space object is carried in accordance with article II.</w:t>
      </w:r>
    </w:p>
    <w:p w14:paraId="273404D4"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II</w:t>
      </w:r>
    </w:p>
    <w:p w14:paraId="11AA0B24"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1. When a space object is launched into earth orbit or beyond, the launching State shall register the space object by means of an entry in an appropriate registry which it shall maintain. Each launching State shall inform the Secretary- General of the United Nations of the establishment of such a registry</w:t>
      </w:r>
    </w:p>
    <w:p w14:paraId="437A1A8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2. Where there are two or more launching States in respect of any such space object, they shall jointly determine which one of them shall register the object in accordance with paragraph 1 of this article, bearing in mind the provisions of article VIII of the Treaty on Principles Governing the Activities of States in the Exploration and Use of Outer Space, including the Moon and Other Celestial Bodies, and without prejudice to appropriate agreements concluded or to be concluded among the launching States on jurisdiction and control over the space object and over any personnel thereof.</w:t>
      </w:r>
    </w:p>
    <w:p w14:paraId="3E596F16"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3. The contents of each registry and the conditions under which it is</w:t>
      </w:r>
    </w:p>
    <w:p w14:paraId="08076CFF"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maintained shall be determined by the State of registry concerned.</w:t>
      </w:r>
    </w:p>
    <w:p w14:paraId="1FED297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III</w:t>
      </w:r>
    </w:p>
    <w:p w14:paraId="685D5263"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1. The Secretary-General of the United Nations shall maintain a Register in which the information furnished in accordance with article IV shall be recorded.</w:t>
      </w:r>
    </w:p>
    <w:p w14:paraId="5F2E7FB9"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2. There shall be full and open access to the information in this Register.</w:t>
      </w:r>
    </w:p>
    <w:p w14:paraId="15E6BB4B" w14:textId="77777777" w:rsidR="00A64FE0" w:rsidRPr="00A64FE0" w:rsidRDefault="00A64FE0" w:rsidP="0001759C">
      <w:pPr>
        <w:autoSpaceDE w:val="0"/>
        <w:autoSpaceDN w:val="0"/>
        <w:adjustRightInd w:val="0"/>
        <w:spacing w:before="120" w:after="0" w:line="360" w:lineRule="auto"/>
        <w:rPr>
          <w:rFonts w:ascii="Arial" w:hAnsi="Arial" w:cs="Arial"/>
          <w:lang w:bidi="ar-BH"/>
        </w:rPr>
      </w:pPr>
      <w:r w:rsidRPr="00A64FE0">
        <w:rPr>
          <w:rFonts w:ascii="Arial" w:hAnsi="Arial" w:cs="Arial"/>
          <w:b/>
          <w:bCs/>
        </w:rPr>
        <w:t>Article IV</w:t>
      </w:r>
    </w:p>
    <w:p w14:paraId="4FABF2FA"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1. Each State of registry shall furnish to the Secretary-General of the United Nations, as soon as practicable, the following information concerning each space</w:t>
      </w:r>
    </w:p>
    <w:p w14:paraId="12954CA5"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object carried on its registry:</w:t>
      </w:r>
    </w:p>
    <w:p w14:paraId="04AA180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 name of launching State or States;</w:t>
      </w:r>
    </w:p>
    <w:p w14:paraId="0C68A654"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(b) an appropriate designator of the space object or its registration number;</w:t>
      </w:r>
    </w:p>
    <w:p w14:paraId="25C19991"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(c) date and territory or location of launch;</w:t>
      </w:r>
    </w:p>
    <w:p w14:paraId="0F2D1A3C"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(d) basic orbital parameters, including:</w:t>
      </w:r>
    </w:p>
    <w:p w14:paraId="50541902"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 nodal period;</w:t>
      </w:r>
    </w:p>
    <w:p w14:paraId="455037D2" w14:textId="77777777" w:rsidR="00A64FE0" w:rsidRPr="00A64FE0" w:rsidRDefault="00A64FE0" w:rsidP="0001759C">
      <w:pPr>
        <w:tabs>
          <w:tab w:val="left" w:pos="1236"/>
        </w:tabs>
        <w:autoSpaceDE w:val="0"/>
        <w:autoSpaceDN w:val="0"/>
        <w:adjustRightInd w:val="0"/>
        <w:spacing w:before="120" w:after="0" w:line="360" w:lineRule="auto"/>
        <w:rPr>
          <w:rFonts w:ascii="Arial" w:hAnsi="Arial" w:cs="Arial"/>
        </w:rPr>
      </w:pPr>
      <w:r w:rsidRPr="00A64FE0">
        <w:rPr>
          <w:rFonts w:ascii="Arial" w:hAnsi="Arial" w:cs="Arial"/>
        </w:rPr>
        <w:t>(ii) inclination;</w:t>
      </w:r>
    </w:p>
    <w:p w14:paraId="317A41D1"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(iii) apogee;</w:t>
      </w:r>
    </w:p>
    <w:p w14:paraId="3A3BB03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(iv) perigee;</w:t>
      </w:r>
    </w:p>
    <w:p w14:paraId="1EE3034C" w14:textId="77777777" w:rsidR="00A64FE0" w:rsidRPr="00A64FE0" w:rsidRDefault="00A64FE0" w:rsidP="0001759C">
      <w:pPr>
        <w:tabs>
          <w:tab w:val="left" w:pos="1085"/>
        </w:tabs>
        <w:autoSpaceDE w:val="0"/>
        <w:autoSpaceDN w:val="0"/>
        <w:adjustRightInd w:val="0"/>
        <w:spacing w:before="120" w:after="0" w:line="360" w:lineRule="auto"/>
        <w:rPr>
          <w:rFonts w:ascii="Arial" w:hAnsi="Arial" w:cs="Arial"/>
        </w:rPr>
      </w:pPr>
      <w:r w:rsidRPr="00A64FE0">
        <w:rPr>
          <w:rFonts w:ascii="Arial" w:hAnsi="Arial" w:cs="Arial"/>
        </w:rPr>
        <w:t>(e) general function of the space object.</w:t>
      </w:r>
    </w:p>
    <w:p w14:paraId="060236A1"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2. Each State of registry may, from time to time, provide the Secretary-General of the United Nations with additional information concerning a space object carried on its registry.</w:t>
      </w:r>
    </w:p>
    <w:p w14:paraId="1DF684EC"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3. Each State of registry shall notify the Secretary-General of the United Nations, to the greatest extent feasible and as soon as practicable, of space objects concerning which it has previously transmitted information, and which have been but no longer are in earth orbit.</w:t>
      </w:r>
    </w:p>
    <w:p w14:paraId="155621B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V</w:t>
      </w:r>
    </w:p>
    <w:p w14:paraId="24570926"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Whenever a space object launched into earth orbit or beyond is marked with the designator or registration number referred to in article IV, paragraph 1 (b), or both, the State of registry shall notify the Secretary-General of this fact when submitting the information regarding the space object in accordance with article IV. In such case, the Secretary-General of the United Nations shall record this notification in the Register.</w:t>
      </w:r>
    </w:p>
    <w:p w14:paraId="3A06B0BA"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VI</w:t>
      </w:r>
    </w:p>
    <w:p w14:paraId="2DB692B5"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Where the application of the provisions of this Convention has not enabled a State Party to identify a space object which has caused damage to it or to any of its natural or juridical persons, or which may be of a hazardous or deleterious nature, other States Parties, including in particular States possessing space monitoring and tracking facilities, shall respond to the greatest extent feasible to a request by that State Party, or transmitted through the Secretary-General on its behalf, for assistance under equitable and reasonable conditions in the identification of the object.</w:t>
      </w:r>
    </w:p>
    <w:p w14:paraId="5026FA0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 State Party making such a request shall, to the greatest extent feasible, submit information as to the time, nature and circumstances of the events giving rise to the request. Arrangements under which such assistance shall be rendered shall be the subject of agreement between the parties concerned.</w:t>
      </w:r>
    </w:p>
    <w:p w14:paraId="0251C073"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VII</w:t>
      </w:r>
    </w:p>
    <w:p w14:paraId="1550A537"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1. In this Convention, with the exception of articles VIII to XII inclusive, references to States shall be deemed to apply to any international intergovernmental organization which conducts space activities if the organization declares its acceptance of the rights and obligations provided for in this Convention and if a majority of the States members of the organization are States Parties to this Convention and to the Treaty on Principles Governing the Activities of States in the Exploration and Use of Outer Space, including the Moon and Other Celestial Bodies.</w:t>
      </w:r>
    </w:p>
    <w:p w14:paraId="51DEF39E"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2. States members of any such organization which are States Parties to this Convention shall take all appropriate steps to ensure that the organization makes a declaration in accordance with paragraph 1 of this article.</w:t>
      </w:r>
    </w:p>
    <w:p w14:paraId="7134CD8F"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VIII</w:t>
      </w:r>
    </w:p>
    <w:p w14:paraId="11BEED0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1. This Convention shall be open for signature by all States at United Nations Headquarters in New York. Any State which does not sign this Convention before its entry into force in accordance with paragraph 3 of this article may accede to it at any time.</w:t>
      </w:r>
    </w:p>
    <w:p w14:paraId="6496CAD3"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2. This Convention shall be subject to ratification by signatory States. Instruments of ratification and instruments of accession shall be deposited with the Secretary-General of the United Nations.</w:t>
      </w:r>
    </w:p>
    <w:p w14:paraId="07EFF8D7"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3. This Convention shall enter into force among the States which have deposited instruments of ratification on the deposit of the fifth such instrument with the Secretary-General of the United Nations.</w:t>
      </w:r>
    </w:p>
    <w:p w14:paraId="1C2A1112"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4. For States whose instruments of ratification or accession are deposited subsequent to the entry into force of this Convention, it shall enter into force on the date of the deposit of their instruments of ratification or accession.</w:t>
      </w:r>
    </w:p>
    <w:p w14:paraId="14DDA586"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5. The Secretary-General shall promptly inform all signatory and acceding States of the date of each signature, the date of deposit of each instrument of ratification of and accession to this Convention, the date of its entry into force</w:t>
      </w:r>
    </w:p>
    <w:p w14:paraId="1623D22F"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and other notices.</w:t>
      </w:r>
    </w:p>
    <w:p w14:paraId="77431A01"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IX</w:t>
      </w:r>
    </w:p>
    <w:p w14:paraId="64499CC2"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Any State Party to this Convention may propose amendments to the Convention. Amendments shall enter into force for each State Party to the Convention accepting the amendments upon their acceptance by a majority of the States Parties to the Convention and thereafter for each remaining State Party to the Convention on the date of acceptance by it.</w:t>
      </w:r>
    </w:p>
    <w:p w14:paraId="770FBD2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X</w:t>
      </w:r>
    </w:p>
    <w:p w14:paraId="31D96D78"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Ten years after the entry into force of this Convention, the question of the review of the Convention shall be included in the provisional agenda of the United Nations General Assembly in order to consider, in the light of past application of the Convention, whether it requires revision.</w:t>
      </w:r>
    </w:p>
    <w:p w14:paraId="7D4973D3"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 xml:space="preserve">However, at any time after the Convention has been in force for five years, at the request of one third of the States Parties to the Convention and with the concurrence of the majority of the States Parties, a conference of the States Parties shall be convened to review this Convention. </w:t>
      </w:r>
    </w:p>
    <w:p w14:paraId="05ED60B0"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Such review shall take into account in particular any relevant technological developments, including those relating to the identification of space objects.</w:t>
      </w:r>
    </w:p>
    <w:p w14:paraId="7EA2FD4D" w14:textId="77777777" w:rsidR="00A64FE0" w:rsidRPr="00A64FE0" w:rsidRDefault="00A64FE0" w:rsidP="0001759C">
      <w:pPr>
        <w:autoSpaceDE w:val="0"/>
        <w:autoSpaceDN w:val="0"/>
        <w:adjustRightInd w:val="0"/>
        <w:spacing w:before="120" w:after="0" w:line="360" w:lineRule="auto"/>
        <w:rPr>
          <w:rFonts w:ascii="Arial" w:hAnsi="Arial" w:cs="Arial"/>
          <w:b/>
          <w:bCs/>
        </w:rPr>
      </w:pPr>
      <w:r w:rsidRPr="00A64FE0">
        <w:rPr>
          <w:rFonts w:ascii="Arial" w:hAnsi="Arial" w:cs="Arial"/>
          <w:b/>
          <w:bCs/>
        </w:rPr>
        <w:t>Article XI</w:t>
      </w:r>
    </w:p>
    <w:p w14:paraId="4DDC6A1C"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Any State Party to this Convention may give notice of its withdrawal from the Convention one year after its entry into force by written notification to the Secretary-General of the United Nations. Such withdrawal shall take effect one year from the date of receipt of this notification.</w:t>
      </w:r>
    </w:p>
    <w:p w14:paraId="1BDF86D2"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b/>
          <w:bCs/>
        </w:rPr>
        <w:t>Article XII</w:t>
      </w:r>
    </w:p>
    <w:p w14:paraId="6943E72D"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The original of this Convention, of which the Arabic, Chinese, English, French, Russian and Spanish texts are equally authentic, shall be deposited with the Secretary-General of the United Nations, who shall send certified copies thereof to all signatory and acceding States.</w:t>
      </w:r>
    </w:p>
    <w:p w14:paraId="6D088EB9" w14:textId="77777777" w:rsidR="00A64FE0" w:rsidRPr="00A64FE0" w:rsidRDefault="00A64FE0" w:rsidP="0001759C">
      <w:pPr>
        <w:autoSpaceDE w:val="0"/>
        <w:autoSpaceDN w:val="0"/>
        <w:adjustRightInd w:val="0"/>
        <w:spacing w:before="120" w:after="0" w:line="360" w:lineRule="auto"/>
        <w:rPr>
          <w:rFonts w:ascii="Arial" w:hAnsi="Arial" w:cs="Arial"/>
        </w:rPr>
      </w:pPr>
      <w:r w:rsidRPr="00A64FE0">
        <w:rPr>
          <w:rFonts w:ascii="Arial" w:hAnsi="Arial" w:cs="Arial"/>
        </w:rPr>
        <w:t>IN WITNESS WHEREOF the undersigned, being duly authorized thereto by their respective Governments, have signed this Convention, opened for signature at New York on the fourteenth day of January, one thousand nine hundred and seventy-five.</w:t>
      </w:r>
    </w:p>
    <w:p w14:paraId="7C584631" w14:textId="77777777" w:rsidR="00A64FE0" w:rsidRPr="00A64FE0" w:rsidRDefault="00A64FE0" w:rsidP="0001759C">
      <w:pPr>
        <w:spacing w:before="120" w:after="0" w:line="360" w:lineRule="auto"/>
        <w:rPr>
          <w:rFonts w:ascii="Arial" w:hAnsi="Arial" w:cs="Arial"/>
          <w:lang w:bidi="ar-BH"/>
        </w:rPr>
      </w:pPr>
    </w:p>
    <w:sectPr w:rsidR="00A64FE0" w:rsidRPr="00A64FE0" w:rsidSect="00F822B3">
      <w:headerReference w:type="default" r:id="rId6"/>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7AF3B" w14:textId="77777777" w:rsidR="00A64FE0" w:rsidRDefault="00A64FE0">
      <w:pPr>
        <w:spacing w:after="0"/>
      </w:pPr>
      <w:r>
        <w:separator/>
      </w:r>
    </w:p>
  </w:endnote>
  <w:endnote w:type="continuationSeparator" w:id="0">
    <w:p w14:paraId="596DBC85" w14:textId="77777777" w:rsidR="00A64FE0" w:rsidRDefault="00A64F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3AD27" w14:textId="77777777" w:rsidR="00A64FE0" w:rsidRDefault="00A64FE0">
      <w:pPr>
        <w:spacing w:after="0"/>
      </w:pPr>
      <w:r>
        <w:separator/>
      </w:r>
    </w:p>
  </w:footnote>
  <w:footnote w:type="continuationSeparator" w:id="0">
    <w:p w14:paraId="51916FB5" w14:textId="77777777" w:rsidR="00A64FE0" w:rsidRDefault="00A64F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18680F" w14:paraId="7EB88759" w14:textId="77777777">
      <w:tc>
        <w:tcPr>
          <w:tcW w:w="4148" w:type="dxa"/>
        </w:tcPr>
        <w:p w14:paraId="568E26F0" w14:textId="77777777" w:rsidR="00A64FE0" w:rsidRDefault="00A64FE0">
          <w:pPr>
            <w:rPr>
              <w:rFonts w:cs="Arial"/>
              <w:sz w:val="26"/>
              <w:szCs w:val="26"/>
              <w:lang w:val="en-US" w:bidi="ar-EG"/>
            </w:rPr>
          </w:pPr>
        </w:p>
      </w:tc>
      <w:tc>
        <w:tcPr>
          <w:tcW w:w="4148" w:type="dxa"/>
        </w:tcPr>
        <w:p w14:paraId="2678AE04" w14:textId="77777777" w:rsidR="00A64FE0" w:rsidRDefault="00A64FE0">
          <w:pPr>
            <w:spacing w:after="0"/>
            <w:rPr>
              <w:rFonts w:cs="Arial"/>
              <w:b/>
              <w:bCs/>
              <w:sz w:val="26"/>
              <w:szCs w:val="26"/>
              <w:lang w:val="en-US" w:bidi="ar-EG"/>
            </w:rPr>
          </w:pPr>
        </w:p>
      </w:tc>
    </w:tr>
  </w:tbl>
  <w:p w14:paraId="082D4E82" w14:textId="77777777" w:rsidR="00A64FE0" w:rsidRDefault="00A64FE0">
    <w:pPr>
      <w:pStyle w:val="Header"/>
      <w:rPr>
        <w:lang w:bidi="ar-E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60"/>
    <w:rsid w:val="000129C5"/>
    <w:rsid w:val="0001759C"/>
    <w:rsid w:val="0018680F"/>
    <w:rsid w:val="00521F4E"/>
    <w:rsid w:val="00815AD9"/>
    <w:rsid w:val="008C2A60"/>
    <w:rsid w:val="00A64FE0"/>
    <w:rsid w:val="00F82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8522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Theme="minorBidi" w:hAnsiTheme="minorBidi"/>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locked/>
    <w:rPr>
      <w:rFonts w:ascii="Consolas" w:hAnsi="Consolas" w:hint="default"/>
      <w:kern w:val="0"/>
      <w:sz w:val="20"/>
      <w:szCs w:val="20"/>
      <w14:ligatures w14:val="none"/>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locked/>
    <w:rPr>
      <w:rFonts w:asciiTheme="minorBidi" w:hAnsiTheme="minorBidi" w:cs="Arial" w:hint="default"/>
      <w:kern w:val="0"/>
      <w:sz w:val="28"/>
      <w:szCs w:val="28"/>
      <w14:ligatures w14:val="none"/>
    </w:rPr>
  </w:style>
  <w:style w:type="paragraph" w:styleId="Footer">
    <w:name w:val="footer"/>
    <w:basedOn w:val="Normal"/>
    <w:link w:val="FooterChar"/>
    <w:uiPriority w:val="99"/>
    <w:semiHidden/>
    <w:unhideWhenUsed/>
    <w:pPr>
      <w:tabs>
        <w:tab w:val="center" w:pos="4680"/>
        <w:tab w:val="right" w:pos="9360"/>
      </w:tabs>
      <w:spacing w:after="0"/>
    </w:pPr>
  </w:style>
  <w:style w:type="character" w:customStyle="1" w:styleId="FooterChar">
    <w:name w:val="Footer Char"/>
    <w:basedOn w:val="DefaultParagraphFont"/>
    <w:link w:val="Footer"/>
    <w:uiPriority w:val="99"/>
    <w:semiHidden/>
    <w:locked/>
    <w:rPr>
      <w:rFonts w:asciiTheme="minorBidi" w:hAnsiTheme="minorBidi" w:cs="Arial" w:hint="default"/>
      <w:kern w:val="0"/>
      <w:sz w:val="28"/>
      <w:szCs w:val="28"/>
      <w14:ligatures w14:val="none"/>
    </w:rPr>
  </w:style>
  <w:style w:type="paragraph" w:styleId="ListParagraph">
    <w:name w:val="List Paragraph"/>
    <w:basedOn w:val="Normal"/>
    <w:uiPriority w:val="34"/>
    <w:qFormat/>
    <w:pPr>
      <w:ind w:right="720"/>
      <w:contextualSpacing/>
    </w:pPr>
  </w:style>
  <w:style w:type="table" w:styleId="TableGrid">
    <w:name w:val="Table Grid"/>
    <w:basedOn w:val="TableNormal"/>
    <w:uiPriority w:val="39"/>
    <w:rPr>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1754</Words>
  <Characters>9998</Characters>
  <Application>Microsoft Office Word</Application>
  <DocSecurity>0</DocSecurity>
  <Lines>83</Lines>
  <Paragraphs>23</Paragraphs>
  <ScaleCrop>false</ScaleCrop>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Al Fateh Law</dc:creator>
  <cp:keywords/>
  <dc:description/>
  <cp:lastModifiedBy>فيصل فايز البلوشي</cp:lastModifiedBy>
  <cp:revision>4</cp:revision>
  <dcterms:created xsi:type="dcterms:W3CDTF">2024-05-14T09:11:00Z</dcterms:created>
  <dcterms:modified xsi:type="dcterms:W3CDTF">2024-05-15T18:17:00Z</dcterms:modified>
</cp:coreProperties>
</file>