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5C44C3" w14:textId="77777777" w:rsidR="00E22390" w:rsidRPr="00E22390" w:rsidRDefault="00E22390" w:rsidP="00704DA2">
      <w:pPr>
        <w:spacing w:before="120" w:after="0" w:line="360" w:lineRule="auto"/>
        <w:rPr>
          <w:rFonts w:ascii="Arial" w:eastAsia="Times New Roman" w:hAnsi="Arial" w:cs="Arial"/>
          <w:b/>
          <w:bCs/>
          <w:sz w:val="28"/>
          <w:szCs w:val="28"/>
          <w:lang w:eastAsia="fr-FR"/>
        </w:rPr>
      </w:pPr>
      <w:r w:rsidRPr="00E22390">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7BC6D8F5" w14:textId="77777777" w:rsidR="00E22390" w:rsidRPr="00E22390" w:rsidRDefault="00E22390" w:rsidP="00704DA2">
      <w:pPr>
        <w:spacing w:before="120" w:after="0" w:line="360" w:lineRule="auto"/>
        <w:rPr>
          <w:rFonts w:ascii="Arial" w:eastAsia="Times New Roman" w:hAnsi="Arial" w:cs="Arial"/>
          <w:b/>
          <w:bCs/>
          <w:sz w:val="28"/>
          <w:szCs w:val="28"/>
          <w:lang w:eastAsia="fr-FR"/>
        </w:rPr>
      </w:pPr>
      <w:r w:rsidRPr="00E22390">
        <w:rPr>
          <w:rFonts w:ascii="Arial" w:eastAsia="Times New Roman" w:hAnsi="Arial" w:cs="Arial"/>
          <w:b/>
          <w:bCs/>
          <w:sz w:val="28"/>
          <w:szCs w:val="28"/>
          <w:lang w:eastAsia="fr-FR"/>
        </w:rPr>
        <w:t>For any corrections, remarks, or suggestions, kindly contact us on translate@lloc.gov.bh</w:t>
      </w:r>
    </w:p>
    <w:p w14:paraId="167E3368" w14:textId="77777777" w:rsidR="00E22390" w:rsidRPr="00E22390" w:rsidRDefault="00E22390" w:rsidP="00704DA2">
      <w:pPr>
        <w:spacing w:before="120" w:after="0" w:line="360" w:lineRule="auto"/>
        <w:rPr>
          <w:rFonts w:ascii="Arial" w:eastAsia="Times New Roman" w:hAnsi="Arial" w:cs="Arial"/>
          <w:b/>
          <w:bCs/>
          <w:sz w:val="28"/>
          <w:szCs w:val="28"/>
          <w:lang w:eastAsia="fr-FR"/>
        </w:rPr>
      </w:pPr>
      <w:r w:rsidRPr="00E22390">
        <w:rPr>
          <w:rFonts w:ascii="Arial" w:eastAsia="Times New Roman" w:hAnsi="Arial" w:cs="Arial"/>
          <w:b/>
          <w:bCs/>
          <w:sz w:val="28"/>
          <w:szCs w:val="28"/>
          <w:lang w:eastAsia="fr-FR"/>
        </w:rPr>
        <w:t>Published on the website on May 2024</w:t>
      </w:r>
      <w:r w:rsidRPr="00E22390">
        <w:rPr>
          <w:rFonts w:ascii="Arial" w:eastAsia="Times New Roman" w:hAnsi="Arial" w:cs="Arial"/>
          <w:b/>
          <w:bCs/>
          <w:sz w:val="28"/>
          <w:szCs w:val="28"/>
          <w:lang w:eastAsia="fr-FR"/>
        </w:rPr>
        <w:br w:type="page"/>
      </w:r>
    </w:p>
    <w:p w14:paraId="0286CEC3" w14:textId="77777777" w:rsidR="00E22390" w:rsidRPr="00E22390" w:rsidRDefault="00E22390" w:rsidP="00704DA2">
      <w:pPr>
        <w:spacing w:before="120" w:after="0" w:line="360" w:lineRule="auto"/>
        <w:jc w:val="center"/>
        <w:rPr>
          <w:rFonts w:ascii="Arial" w:eastAsia="Times New Roman" w:hAnsi="Arial" w:cs="Arial"/>
          <w:sz w:val="28"/>
          <w:szCs w:val="28"/>
          <w:lang w:eastAsia="fr-FR"/>
        </w:rPr>
      </w:pPr>
      <w:r w:rsidRPr="00E22390">
        <w:rPr>
          <w:rFonts w:ascii="Arial" w:eastAsia="Times New Roman" w:hAnsi="Arial" w:cs="Arial"/>
          <w:b/>
          <w:bCs/>
          <w:sz w:val="28"/>
          <w:szCs w:val="28"/>
          <w:lang w:eastAsia="fr-FR"/>
        </w:rPr>
        <w:lastRenderedPageBreak/>
        <w:t>Official Gazette |5</w:t>
      </w:r>
    </w:p>
    <w:p w14:paraId="08B6C83D" w14:textId="77777777" w:rsidR="00E22390" w:rsidRPr="00E22390" w:rsidRDefault="00E22390" w:rsidP="00704DA2">
      <w:pPr>
        <w:spacing w:before="120" w:after="0" w:line="360" w:lineRule="auto"/>
        <w:jc w:val="center"/>
        <w:rPr>
          <w:rFonts w:ascii="Arial" w:eastAsia="Times New Roman" w:hAnsi="Arial" w:cs="Arial"/>
          <w:sz w:val="28"/>
          <w:szCs w:val="28"/>
          <w:lang w:eastAsia="fr-FR"/>
        </w:rPr>
      </w:pPr>
      <w:r w:rsidRPr="00E22390">
        <w:rPr>
          <w:rFonts w:ascii="Arial" w:eastAsia="Times New Roman" w:hAnsi="Arial" w:cs="Arial"/>
          <w:sz w:val="28"/>
          <w:szCs w:val="28"/>
          <w:lang w:eastAsia="fr-FR"/>
        </w:rPr>
        <w:t>Issue: 3245 - Thursday 21 January 2016</w:t>
      </w:r>
    </w:p>
    <w:p w14:paraId="672C84E2" w14:textId="77777777" w:rsidR="00E22390" w:rsidRPr="00E22390" w:rsidRDefault="00E22390" w:rsidP="00704DA2">
      <w:pPr>
        <w:spacing w:before="120" w:after="0" w:line="360" w:lineRule="auto"/>
        <w:jc w:val="center"/>
        <w:rPr>
          <w:rFonts w:ascii="Arial" w:eastAsia="Times New Roman" w:hAnsi="Arial" w:cs="Arial"/>
          <w:sz w:val="28"/>
          <w:szCs w:val="28"/>
          <w:lang w:eastAsia="fr-FR"/>
        </w:rPr>
      </w:pPr>
      <w:r w:rsidRPr="00E22390">
        <w:rPr>
          <w:rFonts w:ascii="Arial" w:eastAsia="Times New Roman" w:hAnsi="Arial" w:cs="Arial"/>
          <w:b/>
          <w:bCs/>
          <w:sz w:val="28"/>
          <w:szCs w:val="28"/>
          <w:lang w:eastAsia="fr-FR"/>
        </w:rPr>
        <w:t>Legislative Decree No. (1) of 2016 approving accession to the Convention on Prohibitions or Restrictions on the Use of Certain Conventional Weapons Which May Be Deemed to Be Excessively Injurious or to Have Indiscriminate Effects, adopted in Geneva in October 1980, and its Third, Fourth and Fifth Protocols</w:t>
      </w:r>
    </w:p>
    <w:p w14:paraId="31F2AFD4" w14:textId="77777777" w:rsidR="00E22390" w:rsidRPr="00E22390" w:rsidRDefault="00E22390" w:rsidP="00704DA2">
      <w:pPr>
        <w:spacing w:before="120" w:after="0" w:line="360" w:lineRule="auto"/>
        <w:rPr>
          <w:rFonts w:ascii="Arial" w:eastAsia="Times New Roman" w:hAnsi="Arial" w:cs="Arial"/>
          <w:b/>
          <w:bCs/>
          <w:sz w:val="28"/>
          <w:szCs w:val="28"/>
          <w:lang w:eastAsia="fr-FR"/>
        </w:rPr>
      </w:pPr>
      <w:r w:rsidRPr="00E22390">
        <w:rPr>
          <w:rFonts w:ascii="Arial" w:eastAsia="Times New Roman" w:hAnsi="Arial" w:cs="Arial"/>
          <w:b/>
          <w:bCs/>
          <w:sz w:val="28"/>
          <w:szCs w:val="28"/>
          <w:lang w:eastAsia="fr-FR"/>
        </w:rPr>
        <w:br w:type="page"/>
      </w:r>
    </w:p>
    <w:p w14:paraId="46502B7C"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b/>
          <w:bCs/>
          <w:sz w:val="28"/>
          <w:szCs w:val="28"/>
          <w:lang w:eastAsia="fr-FR"/>
        </w:rPr>
        <w:t>We, Hamad bin Isa Al Khalifa, King of the Kingdom of Bahrain. </w:t>
      </w:r>
    </w:p>
    <w:p w14:paraId="0CA11B3A"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Having reviewed the Constitution, </w:t>
      </w:r>
    </w:p>
    <w:p w14:paraId="1B9E381F"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On the basis of the Convention on Prohibitions or Restrictions on the Use of Certain Conventional Weapons Which May Be Deemed to Be Excessively Injurious or to Have Indiscriminate Effects, adopted in Geneva in October 1980, and its third, fourth and fifth protocols; The Shura Council and the Council of Representatives have approved the following law, which we hereby ratified and promulgate: </w:t>
      </w:r>
    </w:p>
    <w:p w14:paraId="1FDBABA5"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b/>
          <w:bCs/>
          <w:sz w:val="28"/>
          <w:szCs w:val="28"/>
          <w:lang w:eastAsia="fr-FR"/>
        </w:rPr>
        <w:t>Article One </w:t>
      </w:r>
    </w:p>
    <w:p w14:paraId="49549D20"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It was agreed to accede to the Convention on Prohibitions or Restrictions on the Use of Certain Conventional Weapons Which May Be Deemed to Be Excessively Injurious or to Have Indiscriminate Effects, adopted in Geneva in October 1980, as well as its third, fourth and fifth protocols, which accompany this law. </w:t>
      </w:r>
    </w:p>
    <w:p w14:paraId="4E1CB9B4"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b/>
          <w:bCs/>
          <w:sz w:val="28"/>
          <w:szCs w:val="28"/>
          <w:lang w:eastAsia="fr-FR"/>
        </w:rPr>
        <w:t>Article Two </w:t>
      </w:r>
    </w:p>
    <w:p w14:paraId="3F0D0981"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The Prime Minister and the Ministers - each within his jurisdiction - shall implement this Law, and it shall come into force from the day following the date of its publication in the Official Gazette. </w:t>
      </w:r>
    </w:p>
    <w:p w14:paraId="72326EE7"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b/>
          <w:bCs/>
          <w:sz w:val="28"/>
          <w:szCs w:val="28"/>
          <w:lang w:eastAsia="fr-FR"/>
        </w:rPr>
        <w:t>King of the Kingdom of Bahrain </w:t>
      </w:r>
    </w:p>
    <w:p w14:paraId="13D59A58"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b/>
          <w:bCs/>
          <w:sz w:val="28"/>
          <w:szCs w:val="28"/>
          <w:lang w:eastAsia="fr-FR"/>
        </w:rPr>
        <w:t>Hamad bin Isa Al Khalifa </w:t>
      </w:r>
    </w:p>
    <w:p w14:paraId="048ED05A"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Promulgated at Riffa Palace: </w:t>
      </w:r>
    </w:p>
    <w:p w14:paraId="75DBD0E1"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On: 22 Rabi' al-Awwal 1437 A.H. </w:t>
      </w:r>
    </w:p>
    <w:p w14:paraId="0CE92CD2"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Corresponding to: 2 January 2016 </w:t>
      </w:r>
    </w:p>
    <w:p w14:paraId="6869291D"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b/>
          <w:bCs/>
          <w:sz w:val="28"/>
          <w:szCs w:val="28"/>
          <w:lang w:eastAsia="fr-FR"/>
        </w:rPr>
        <w:t>6 Official | Gazette </w:t>
      </w:r>
    </w:p>
    <w:p w14:paraId="255B198D"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Issue: 3245 - Thursday 21 January 2016 </w:t>
      </w:r>
    </w:p>
    <w:p w14:paraId="32EFEBCC"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b/>
          <w:bCs/>
          <w:sz w:val="28"/>
          <w:szCs w:val="28"/>
          <w:lang w:eastAsia="fr-FR"/>
        </w:rPr>
        <w:t>Convention on Prohibitions or Restrictions on the Use of Certain Conventional Weapons Which May Be Deemed to Be Excessively Injurious or to Have Indiscriminate Effects Geneva, 10 October 1980 (Article 1 amended in 2001) </w:t>
      </w:r>
    </w:p>
    <w:p w14:paraId="3935C614"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The High Contracting Parties, </w:t>
      </w:r>
    </w:p>
    <w:p w14:paraId="5EFCC65B"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Recalling that every State has the duty, in conformity with the Charter of the United Nations, to refrain in its international relations from the threat or use of force against the sovereignty, territorial integrity or political independence of any State, or in any other manner inconsistent with the purposes of the United Nations. </w:t>
      </w:r>
    </w:p>
    <w:p w14:paraId="225269C7"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Further recalling the general principle of the protection of the civilian population against the effects of hostilities. Basing themselves on the principle of international law that the right of the parties to an armed conflict to choose methods or means of warfare is not unlimited, and on the principle that prohibits the employment in armed conflicts of weapons, projectiles and material and methods of warfare of a nature to cause superfluous injury or unnecessary suffering. </w:t>
      </w:r>
    </w:p>
    <w:p w14:paraId="4EB0AD2A"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Also recalling that it is prohibited to employ methods or means of warfare which are intended, or may be expected, to cause widespread, long-term and severe damage to the natural environment. </w:t>
      </w:r>
    </w:p>
    <w:p w14:paraId="6AF01519"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Confirming their determination that in cases not covered by this Convention and its annexed Protocols or by other international agreements, the civilian population and the combatants shall at all times remain under the protection and authority of the principles of international law derived from established custom, from the principles of humanity and from the dictates of public conscience. </w:t>
      </w:r>
    </w:p>
    <w:p w14:paraId="17664F0E"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Desiring to contribute to international détente, the ending of the arms race and the building of confidence among States, and hence to the realization of the aspiration of all peoples to live in peace. </w:t>
      </w:r>
    </w:p>
    <w:p w14:paraId="4AF38003"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Recognizing the importance of pursuing every effort which may contribute to progress towards general and complete disarmament under strict and effective international control. </w:t>
      </w:r>
    </w:p>
    <w:p w14:paraId="7A82C835"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Reaffirming the need to continue the codification and progressive development of the rules of international law applicable in armed conflict, </w:t>
      </w:r>
    </w:p>
    <w:p w14:paraId="06478049"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Wishing to prohibit or restrict further the use of certain conventional weapons and believing that the positive results achieved in this area may facilitate the main talks on disarmament with a view to putting an end to the production, stockpiling and proliferation of such weapons, </w:t>
      </w:r>
    </w:p>
    <w:p w14:paraId="00111AB5"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Emphasizing the desirability that all States become parties to this Convention and its annexed Protocols, especially the militarily significant States, </w:t>
      </w:r>
    </w:p>
    <w:p w14:paraId="2B3A4F59"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Bearing in mind that the General Assembly of the United Nations and the United Nations Disarmament Commission may decide to examine the question of a possible broadening of the scope of the prohibitions and restrictions contained in this Convention and its annexed Protocols, </w:t>
      </w:r>
    </w:p>
    <w:p w14:paraId="7702C8A5"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Further bearing in mind that the Committee on Disarmament may decide to consider the question of adopting further measures to prohibit or restrict the use of certain conventional weapons, </w:t>
      </w:r>
    </w:p>
    <w:p w14:paraId="40D85C13"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Have agreed as follows: Have agreed as follows: </w:t>
      </w:r>
    </w:p>
    <w:p w14:paraId="475121BD"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b/>
          <w:bCs/>
          <w:sz w:val="28"/>
          <w:szCs w:val="28"/>
          <w:lang w:eastAsia="fr-FR"/>
        </w:rPr>
        <w:t>Article (1) </w:t>
      </w:r>
    </w:p>
    <w:p w14:paraId="0E882B87"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b/>
          <w:bCs/>
          <w:sz w:val="28"/>
          <w:szCs w:val="28"/>
          <w:lang w:eastAsia="fr-FR"/>
        </w:rPr>
        <w:t>Scope of application </w:t>
      </w:r>
    </w:p>
    <w:p w14:paraId="18FA81AF"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This Convention and its annexed Protocols shall apply in the situations referred to in Article 2 common to the Geneva Conventions of 12 August 1949 for the Protection of War Victims, including any situation described in paragraph 4 of Article 1 of Additional Protocol I to these Conventions. </w:t>
      </w:r>
    </w:p>
    <w:p w14:paraId="5D4DCD6C"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This Convention and its annexed Protocols shall also apply, in addition to situations referred to in paragraph 1 of this Article, to situations referred to in Article 3 common to the Geneva Conventions of 12 August 1949. This Convention and its annexed Protocols shall not apply to situations of internal disturbances and tensions, such as riots, isolated and sporadic acts of violence, and other acts of a similar nature, as not being armed conflicts. </w:t>
      </w:r>
    </w:p>
    <w:p w14:paraId="0CCE8094"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 </w:t>
      </w:r>
    </w:p>
    <w:p w14:paraId="69276729"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At the Second Review Conference, held from 11 to 21 December 2001, the States Parties put forward a decision to amend Article 1 of the Convention by extending its scope to include non-international armed conflicts. This decision is contained in the Final Declaration of the Second Review Conference contained in document CCW/CONF. 11/2 </w:t>
      </w:r>
    </w:p>
    <w:p w14:paraId="27AD6EFB"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In case of armed conflicts not of an international character occurring in the territory of one of the High Contracting Parties, each party to the conflict shall be bound to apply the prohibitions and restrictions of this Convention and its annexed Protocols. </w:t>
      </w:r>
    </w:p>
    <w:p w14:paraId="438759EA"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Nothing in this Convention or its annexed Protocols shall be invoked for the purpose of affecting the sovereignty of a State or the responsibility of the Government, by all legitimate means, to maintain or re-establish law and order in the State or to defend the national unity and territorial integrity of the State. </w:t>
      </w:r>
    </w:p>
    <w:p w14:paraId="3A9151D5"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Nothing in this Convention or its annexed Protocols shall be invoked as a justification for intervening, directly or indirectly, for any reason whatever, in the armed conflict or in the internal or external affairs of the High Contracting Party in the territory of which that conflict occurs. </w:t>
      </w:r>
    </w:p>
    <w:p w14:paraId="73FD1A76"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The application of the provisions of this Convention and its annexed Protocols to parties to a conflict which are not High Contracting Parties that have accepted this Convention or its annexed Protocols, shall not change their legal status or the legal status of a disputed territory, either explicitly or implicitly. </w:t>
      </w:r>
    </w:p>
    <w:p w14:paraId="4FED2903"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The provisions of paragraphs 2-6 of this Article shall not prejudice additional Protocols adopted after 1 January 2002, which may apply, exclude or modify the scope of their application in relation to this Article. </w:t>
      </w:r>
    </w:p>
    <w:p w14:paraId="584B3393"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b/>
          <w:bCs/>
          <w:sz w:val="28"/>
          <w:szCs w:val="28"/>
          <w:lang w:eastAsia="fr-FR"/>
        </w:rPr>
        <w:t>Article (2) </w:t>
      </w:r>
    </w:p>
    <w:p w14:paraId="58068649"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b/>
          <w:bCs/>
          <w:sz w:val="28"/>
          <w:szCs w:val="28"/>
          <w:lang w:eastAsia="fr-FR"/>
        </w:rPr>
        <w:t>Relations with other international agreements </w:t>
      </w:r>
    </w:p>
    <w:p w14:paraId="0D5A9057"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Nothing in this Convention or its annexed Protocols shall be interpreted as detracting from other obligations imposed upon the High Contracting Parties by international humanitarian law applicable in armed conflict. </w:t>
      </w:r>
    </w:p>
    <w:p w14:paraId="666009B5"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b/>
          <w:bCs/>
          <w:sz w:val="28"/>
          <w:szCs w:val="28"/>
          <w:lang w:eastAsia="fr-FR"/>
        </w:rPr>
        <w:t>Article (3) </w:t>
      </w:r>
    </w:p>
    <w:p w14:paraId="0D615620"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b/>
          <w:bCs/>
          <w:sz w:val="28"/>
          <w:szCs w:val="28"/>
          <w:lang w:eastAsia="fr-FR"/>
        </w:rPr>
        <w:t>Signature </w:t>
      </w:r>
    </w:p>
    <w:p w14:paraId="6A31B648"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This Convention shall be open for signature by all States at United Nations Headquarters in New York for a period of twelve months from 10 April 1981. </w:t>
      </w:r>
    </w:p>
    <w:p w14:paraId="102ACBE4"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b/>
          <w:bCs/>
          <w:sz w:val="28"/>
          <w:szCs w:val="28"/>
          <w:lang w:eastAsia="fr-FR"/>
        </w:rPr>
        <w:t>Article (4) </w:t>
      </w:r>
    </w:p>
    <w:p w14:paraId="54DC943D"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b/>
          <w:bCs/>
          <w:sz w:val="28"/>
          <w:szCs w:val="28"/>
          <w:lang w:eastAsia="fr-FR"/>
        </w:rPr>
        <w:t>Ratification, acceptance, approval or accession </w:t>
      </w:r>
    </w:p>
    <w:p w14:paraId="2D2FBAA8"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This Convention is subject to ratification, acceptance or approval by the Signatories.  Any State which has not signed this Convention may accede to it. </w:t>
      </w:r>
    </w:p>
    <w:p w14:paraId="1B189859"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The instruments of ratification, acceptance, approval or accession shall be deposited with the Depositary. </w:t>
      </w:r>
    </w:p>
    <w:p w14:paraId="19995597"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Expressions of consent to be bound by any of the Protocols annexed to this Convention shall be optional for each State, provided that at the time of the deposit of its instrument of ratification, acceptance or approval of this Convention or of accession thereto, that State shall notify the Depositary of its consent to be bound by any two or more of these Protocols. </w:t>
      </w:r>
    </w:p>
    <w:p w14:paraId="2A7551BB"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At any time after the deposit of its instrument of ratification, acceptance or approval of this Convention or of accession thereto, a State may notify the Depositary of its consent to be bound by any annexed Protocol by which it is not already bound. </w:t>
      </w:r>
    </w:p>
    <w:p w14:paraId="71CD3E89"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Any Protocol by which a High Contracting Party is bound shall for that Party form an integral part of this Convention. </w:t>
      </w:r>
    </w:p>
    <w:p w14:paraId="69E4F22C"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b/>
          <w:bCs/>
          <w:sz w:val="28"/>
          <w:szCs w:val="28"/>
          <w:lang w:eastAsia="fr-FR"/>
        </w:rPr>
        <w:t>Article (5) </w:t>
      </w:r>
    </w:p>
    <w:p w14:paraId="0F2B6B1D"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b/>
          <w:bCs/>
          <w:sz w:val="28"/>
          <w:szCs w:val="28"/>
          <w:lang w:eastAsia="fr-FR"/>
        </w:rPr>
        <w:t>Entry into force </w:t>
      </w:r>
    </w:p>
    <w:p w14:paraId="0FB8E4F2"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This Convention shall enter into force six months after the date of deposit of the twentieth instrument of ratification, acceptance, approval or accession. </w:t>
      </w:r>
    </w:p>
    <w:p w14:paraId="4333CE3D"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For any State which deposits its instrument of ratification, acceptance, approval or accession after the date of the deposit of the twentieth instrument of ratification, acceptance, approval or accession, this Convention shall enter into force six months after the date on which that State has deposited its instrument of ratification, acceptance, approval or accession. </w:t>
      </w:r>
    </w:p>
    <w:p w14:paraId="357BC816"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Each of the Protocols annexed to this Convention shall enter into force six months after the date by which twenty States have notified their consent to be bound by it in accordance with paragraph 3 or 4 of Article 4 of this Convention. </w:t>
      </w:r>
    </w:p>
    <w:p w14:paraId="68B7CA3C"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For any State which notifies its consent to be bound by a Protocol annexed to this Convention after the date by which twenty States have notified their consent to be bound by it, the Protocol shall enter into force six months after the date on which that State has notified its consent so to be bound. </w:t>
      </w:r>
    </w:p>
    <w:p w14:paraId="6DD63C42"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b/>
          <w:bCs/>
          <w:sz w:val="28"/>
          <w:szCs w:val="28"/>
          <w:lang w:eastAsia="fr-FR"/>
        </w:rPr>
        <w:t>Article (6) </w:t>
      </w:r>
    </w:p>
    <w:p w14:paraId="4ED28F5C"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b/>
          <w:bCs/>
          <w:sz w:val="28"/>
          <w:szCs w:val="28"/>
          <w:lang w:eastAsia="fr-FR"/>
        </w:rPr>
        <w:t>Dissemination </w:t>
      </w:r>
    </w:p>
    <w:p w14:paraId="7ED29F19"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The High Contracting Parties undertake, in time of peace as in time of armed conflict, to disseminate this Convention and those of its annexed Protocols by which they are bound as widely as possible in their respective countries and, in particular, to include the study thereof in their programmes of military instruction, so that those instruments may become known to their armed forces. </w:t>
      </w:r>
    </w:p>
    <w:p w14:paraId="712E8AC0"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b/>
          <w:bCs/>
          <w:sz w:val="28"/>
          <w:szCs w:val="28"/>
          <w:lang w:eastAsia="fr-FR"/>
        </w:rPr>
        <w:t>Article (7) </w:t>
      </w:r>
    </w:p>
    <w:p w14:paraId="218DCD94"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b/>
          <w:bCs/>
          <w:sz w:val="28"/>
          <w:szCs w:val="28"/>
          <w:lang w:eastAsia="fr-FR"/>
        </w:rPr>
        <w:t>Treaty relations upon entry into force of this Convention </w:t>
      </w:r>
    </w:p>
    <w:p w14:paraId="58147AE9"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When one of the parties to a conflict is not bound by an annexed Protocol, the parties bound by this Convention and that annexed Protocol shall remain bound by them in their mutual relations. </w:t>
      </w:r>
    </w:p>
    <w:p w14:paraId="24BC15D0"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Any High Contracting Party shall be bound by this Convention and any Protocol annexed thereto which is in force for it, in any situation contemplated by Article 1, in relation to any State which is not a party to this Convention or bound by the relevant annexed Protocol, if the latter accepts and applies this Convention or the relevant Protocol, and so notifies the Depositary. </w:t>
      </w:r>
    </w:p>
    <w:p w14:paraId="5E9D85E2"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The Depositary shall immediately inform the High Contracting Parties concerned of any notification received under paragraph 2 of this Article. </w:t>
      </w:r>
    </w:p>
    <w:p w14:paraId="5C260737"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This Convention, and the annexed Protocols by which a High Contracting Party is bound, shall apply with respect to an armed conflict against that High Contracting Party of the type referred to in Article 1, paragraph 4, of Additional Protocol I to the Geneva Conventions of 12 August 1949 for the Protection of War Victims: </w:t>
      </w:r>
    </w:p>
    <w:p w14:paraId="39EFBA33"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where the High Contracting Party is also a party to Additional Protocol I and an authority referred to in Article 96, paragraph 3, of that Protocol has undertaken to apply the Geneva Conventions and Additional Protocol I in accordance with Article 96, paragraph 3, of the said Protocol, and undertakes to apply this Convention and the relevant annexed Protocols in relation to that conflict; or </w:t>
      </w:r>
    </w:p>
    <w:p w14:paraId="3CC6FB9D"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where the High Contracting Party is not a party to Additional Protocol I and an authority of the type referred to in sub-paragraph (a) above accepts and applies the obligations of the Geneva Conventions and of this Convention and the relevant annexed Protocols in relation to that conflict.  Such an acceptance and application shall have in relation to that conflict the following effects: </w:t>
      </w:r>
    </w:p>
    <w:p w14:paraId="38AF7BA5"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“1” the Geneva Conventions and this Convention and its relevant annexed Protocols are brought into force for the parties to the conflict with immediate effect; </w:t>
      </w:r>
    </w:p>
    <w:p w14:paraId="3F2738F7"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“2” the said authority assumes the same rights and obligations as those which have been assumed by a High Contracting Party to the Geneva Conventions, this Convention and its relevant annexed Protocols; and </w:t>
      </w:r>
    </w:p>
    <w:p w14:paraId="5EC13545"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“3” the Geneva Conventions, this Convention and its relevant annexed Protocols are equally binding upon all parties to the conflict. </w:t>
      </w:r>
    </w:p>
    <w:p w14:paraId="3525743B"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The High Contracting Party and the authority may also agree to accept and apply the obligations of Additional Protocol I to the Geneva Conventions on a reciprocal basis. </w:t>
      </w:r>
    </w:p>
    <w:p w14:paraId="78E8BEF1"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b/>
          <w:bCs/>
          <w:sz w:val="28"/>
          <w:szCs w:val="28"/>
          <w:lang w:eastAsia="fr-FR"/>
        </w:rPr>
        <w:t>Article (8) </w:t>
      </w:r>
    </w:p>
    <w:p w14:paraId="13F216A5"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b/>
          <w:bCs/>
          <w:sz w:val="28"/>
          <w:szCs w:val="28"/>
          <w:lang w:eastAsia="fr-FR"/>
        </w:rPr>
        <w:t>Review and amendments </w:t>
      </w:r>
    </w:p>
    <w:p w14:paraId="495B6B6B"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At any time after the entry into force of this Convention any High Contracting Party may propose amendments to this Convention or any annexed Protocol by which it is bound. Any proposal for an amendment shall be communicated to the Depositary, who shall notify it to all the High Contracting Parties and shall seek their views on whether a conference should be convened to consider the proposal. If a majority, that shall not be less than eighteen of the High Contracting Parties so agree, he shall promptly convene a conference to which all High Contracting Parties shall be invited. States not parties to this Convention shall be invited to the conference as observers. </w:t>
      </w:r>
    </w:p>
    <w:p w14:paraId="5334B98B"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Such a conference may agree upon amendments which shall be adopted and shall enter into force in the same manner as this Convention and the annexed Protocols, provided that amendments to this Convention may be adopted only by the High Contracting Parties and that amendments to a specific annexed Protocol may be adopted only by the High Contracting Parties which are bound by that Protocol. </w:t>
      </w:r>
    </w:p>
    <w:p w14:paraId="28BEE2E3"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At any time after the entry into force of this Convention any High Contracting Party may propose additional protocols relating to other categories of conventional weapons not covered by the existing annexed Protocols. Any such proposal for an additional protocol shall be communicated to the Depositary, who shall notify it to all the High Contracting Parties in accordance with sub-paragraph 1 (a) of this Article. If a majority, that shall not be less than eighteen of the High Contracting Parties so agree, the Depositary shall promptly convene a conference to which all States shall be invited. </w:t>
      </w:r>
    </w:p>
    <w:p w14:paraId="3E12ECB1"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Such a conference may agree, with the full participation of all States represented at the conference, upon additional protocols which shall be adopted in the same manner as this Convention, shall be annexed thereto and shall enter into force as provided in paragraphs 3 and 4 of Article 5 of this Convention. </w:t>
      </w:r>
    </w:p>
    <w:p w14:paraId="770F0E0D"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If, after a period of ten years following the entry into force of this Convention, no conference has been convened in accordance with sub-paragraph 1 (a) or 2 (a) of this Article, any High Contracting Party may request the Depositary to convene a conference to which all High Contracting Parties shall be invited to review the scope and operation of this Convention and the Protocols annexed thereto and to consider any proposal for amendments of this Convention or of the existing Protocols. States not parties to this Convention shall be invited as observers to the conference. The conference may agree upon amendments which shall be adopted and enter into force in accordance with sub-paragraph 1 (b) above. </w:t>
      </w:r>
    </w:p>
    <w:p w14:paraId="179AFB11"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At such conference consideration may also be given to any proposal for additional protocols relating to other categories of conventional weapons not covered by the existing annexed Protocols. All States represented at the conference may participate fully in such consideration. Any additional protocols shall be adopted in the same manner as this Convention, shall be annexed thereto and shall enter into force as provided in paragraphs 3 and 4 of Article 5 of this Convention. </w:t>
      </w:r>
    </w:p>
    <w:p w14:paraId="2F9E75D9"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Such a conference may consider whether provision should be made for the convening of a further conference at the request of any High Contracting Party if, after a similar period to that referred to in sub-paragraph 3 (a) of this Article, no conference has been convened in accordance with sub-paragraph 1 (a) or 2 (a) of this Article. </w:t>
      </w:r>
    </w:p>
    <w:p w14:paraId="6D1BC1EC"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b/>
          <w:bCs/>
          <w:sz w:val="28"/>
          <w:szCs w:val="28"/>
          <w:lang w:eastAsia="fr-FR"/>
        </w:rPr>
        <w:t>Article (9) </w:t>
      </w:r>
    </w:p>
    <w:p w14:paraId="5CEB6E7F"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b/>
          <w:bCs/>
          <w:sz w:val="28"/>
          <w:szCs w:val="28"/>
          <w:lang w:eastAsia="fr-FR"/>
        </w:rPr>
        <w:t>Denunciation </w:t>
      </w:r>
    </w:p>
    <w:p w14:paraId="4EFAF067"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Any High Contracting Party may denounce this Convention or any of its annexed Protocols by so notifying the Depositary. </w:t>
      </w:r>
    </w:p>
    <w:p w14:paraId="0BE57956"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Any such denunciation shall only take effect one year after receipt by the Depositary of the notification of denunciation. If, however, on the expiry of that year the denouncing High Contracting Party is engaged in one of the situations referred to in Article 1, the Party shall continue to be bound by the obligations of this Convention and of the relevant annexed Protocols until the end of the armed conflict or occupation and, in any case, until the termination of operations connected with the final release, repatriation or re-establishment of the persons protected by the rules of international law applicable in armed conflict, and in the case of any annexed Protocol containing provisions concerning situations in which peace-keeping, observation or similar functions are performed by United Nations forces or missions in the area concerned, until the termination of those functions.  </w:t>
      </w:r>
    </w:p>
    <w:p w14:paraId="7D6C8A84"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Any denunciation of this Convention shall be considered as also applying to all annexed Protocols by which the denouncing High Contracting Party is bound. </w:t>
      </w:r>
    </w:p>
    <w:p w14:paraId="480AE596"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Any denunciation shall have effect only in respect of the denouncing High Contracting Party. </w:t>
      </w:r>
    </w:p>
    <w:p w14:paraId="65167A3D"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Any denunciation shall not affect the obligations already incurred, by reason of an armed conflict, under this Convention and its annexed Protocols by such denouncing High Contracting Party in respect of any act committed before this denunciation becomes effective. </w:t>
      </w:r>
    </w:p>
    <w:p w14:paraId="2A5C72B1"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b/>
          <w:bCs/>
          <w:sz w:val="28"/>
          <w:szCs w:val="28"/>
          <w:lang w:eastAsia="fr-FR"/>
        </w:rPr>
        <w:t>Article (10) </w:t>
      </w:r>
    </w:p>
    <w:p w14:paraId="37A8C5CB"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b/>
          <w:bCs/>
          <w:sz w:val="28"/>
          <w:szCs w:val="28"/>
          <w:lang w:eastAsia="fr-FR"/>
        </w:rPr>
        <w:t>Depositary </w:t>
      </w:r>
    </w:p>
    <w:p w14:paraId="60B8E040"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The Secretary-General of the United Nations shall be the Depositary of this Convention and of its annexed Protocols. </w:t>
      </w:r>
    </w:p>
    <w:p w14:paraId="2F7FD97B"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In addition to his usual functions, the Depositary shall inform all States of: </w:t>
      </w:r>
    </w:p>
    <w:p w14:paraId="56C7228B"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signatures affixed to this Convention under Article 3; </w:t>
      </w:r>
    </w:p>
    <w:p w14:paraId="308506B0"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deposits of instruments of ratification, acceptance or approval of or accession to this Convention deposited under Article 4; </w:t>
      </w:r>
    </w:p>
    <w:p w14:paraId="7A5E5FC2"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notifications of consent to be bound by annexed Protocols under Article 5; </w:t>
      </w:r>
    </w:p>
    <w:p w14:paraId="118C7CCE"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the dates of entry into force of this Convention and of each of its annexed Protocols under Article 5; and </w:t>
      </w:r>
    </w:p>
    <w:p w14:paraId="559CB0E5"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notifications of denunciation received under Article 9, and their effective date. </w:t>
      </w:r>
    </w:p>
    <w:p w14:paraId="773B14A9"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b/>
          <w:bCs/>
          <w:sz w:val="28"/>
          <w:szCs w:val="28"/>
          <w:lang w:eastAsia="fr-FR"/>
        </w:rPr>
        <w:t>Article (11) </w:t>
      </w:r>
    </w:p>
    <w:p w14:paraId="30947E92"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b/>
          <w:bCs/>
          <w:sz w:val="28"/>
          <w:szCs w:val="28"/>
          <w:lang w:eastAsia="fr-FR"/>
        </w:rPr>
        <w:t>Authentic texts </w:t>
      </w:r>
    </w:p>
    <w:p w14:paraId="4BC88586"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The original of this Convention with the annexed Protocols, of which the Arabic, Chinese, English, French, Russian and Spanish texts are equally authentic, shall be deposited with the Depositary, ho shall transmit certified true copies thereof to all States. </w:t>
      </w:r>
    </w:p>
    <w:p w14:paraId="66B74164"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b/>
          <w:bCs/>
          <w:sz w:val="28"/>
          <w:szCs w:val="28"/>
          <w:lang w:eastAsia="fr-FR"/>
        </w:rPr>
        <w:t>Official Gazette |17 </w:t>
      </w:r>
    </w:p>
    <w:p w14:paraId="1F547FC2"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Issue: 3245 - Thursday 21 January 2016 </w:t>
      </w:r>
    </w:p>
    <w:p w14:paraId="07B5F492"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b/>
          <w:bCs/>
          <w:sz w:val="28"/>
          <w:szCs w:val="28"/>
          <w:lang w:eastAsia="fr-FR"/>
        </w:rPr>
        <w:t>Protocol III to the Convention on Conventional Weapons concerning Prohibitions or Restrictions on the Use of Incendiary Weapons Geneva, 10 October 1980 </w:t>
      </w:r>
    </w:p>
    <w:p w14:paraId="6A743644"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b/>
          <w:bCs/>
          <w:sz w:val="28"/>
          <w:szCs w:val="28"/>
          <w:lang w:eastAsia="fr-FR"/>
        </w:rPr>
        <w:t>Article (1) </w:t>
      </w:r>
    </w:p>
    <w:p w14:paraId="0752B582"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b/>
          <w:bCs/>
          <w:sz w:val="28"/>
          <w:szCs w:val="28"/>
          <w:lang w:eastAsia="fr-FR"/>
        </w:rPr>
        <w:t>Definitions </w:t>
      </w:r>
    </w:p>
    <w:p w14:paraId="0B09F7CC"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For the purpose of this Protocol: </w:t>
      </w:r>
    </w:p>
    <w:p w14:paraId="18741019"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“Incendiary weapon” means any weapon or munition which is primarily designed to set fire to objects or to cause burn injury to persons through the action of flame, heat, or combination thereof, produced by a chemical reaction of a substance delivered on the target. </w:t>
      </w:r>
    </w:p>
    <w:p w14:paraId="379A5165"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Incendiary weapons can take the form of, for example, flame throwers, fougasses, shells, rockets, grenades, mines, bombs and other containers of incendiary substances. </w:t>
      </w:r>
    </w:p>
    <w:p w14:paraId="36316004"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Incendiary weapons do not include: </w:t>
      </w:r>
    </w:p>
    <w:p w14:paraId="1F3D4881"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“1” munitions which may have incidental incendiary effects, such as illuminants, tracers, smoke or signalling systems; </w:t>
      </w:r>
    </w:p>
    <w:p w14:paraId="0D13488B"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“2” munitions designed to combine penetration, blast or fragmentation effects with an additional incendiary effect, such as armour-piercing projectiles, fragmentation shells, explosive bombs and similar combined-effects munitions in which the incendiary effect is not specifically designed to cause burn injury to persons, but to be used against military objectives, such as armoured vehicles, aircraft and installations or facilities. </w:t>
      </w:r>
    </w:p>
    <w:p w14:paraId="37D2C182"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“Concentration of civilians” means any concentration of civilians, be it permanent or temporary, such as in inhabited parts of cities, or inhabited towns or villages, or as in camps or columns of refugees or evacuees, or groups of nomads. </w:t>
      </w:r>
    </w:p>
    <w:p w14:paraId="2B5656DE"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“Military objective” means, so far as objects are concerned, any object which by its nature, location, purpose or use makes an effective contribution to military action and whose total or partial destruction, capture or neutralization, in the circumstances ruling at the time, offers a definite military advantage. </w:t>
      </w:r>
    </w:p>
    <w:p w14:paraId="2A4F56CB"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“Civilian objects” are all objects which are not military objectives as defined in paragraph 3. </w:t>
      </w:r>
    </w:p>
    <w:p w14:paraId="40C182E9"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“Feasible precautions” are those precautions which are practicable or practically possible taking into account all circumstances ruling at the time, including humanitarian and military considerations. </w:t>
      </w:r>
    </w:p>
    <w:p w14:paraId="5AC80454"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b/>
          <w:bCs/>
          <w:sz w:val="28"/>
          <w:szCs w:val="28"/>
          <w:lang w:eastAsia="fr-FR"/>
        </w:rPr>
        <w:t>Article (2) </w:t>
      </w:r>
    </w:p>
    <w:p w14:paraId="465AE2A2"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b/>
          <w:bCs/>
          <w:sz w:val="28"/>
          <w:szCs w:val="28"/>
          <w:lang w:eastAsia="fr-FR"/>
        </w:rPr>
        <w:t>Protection of civilians and civilian objects </w:t>
      </w:r>
    </w:p>
    <w:p w14:paraId="27B52BB5"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It is prohibited in all circumstances to make the civilian population as such, individual civilians or civilian objects the object of attack by incendiary weapons. </w:t>
      </w:r>
    </w:p>
    <w:p w14:paraId="6C5A83D6"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It is prohibited in all circumstances to make any military objective located within a concentration of civilians the object of attack by air-delivered incendiary weapons. </w:t>
      </w:r>
    </w:p>
    <w:p w14:paraId="678094B6"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It is further prohibited to make any military objective located within a concentration of civilians the object of attack by means of incendiary weapons other than air-delivered incendiary weapons, except when such military objective is clearly separated from the concentration of civilians and all feasible precautions are taken with a view to limiting the incendiary effects to the military objective and to avoiding, and in any event to minimizing, incidental loss of civilian life, injury to civilians and damage to civilian objects. </w:t>
      </w:r>
    </w:p>
    <w:p w14:paraId="4AD60094"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It is prohibited to make forests or other kinds of plant cover the object of attack by incendiary weapons except when such natural elements are used to cover, conceal or camouflage combatants or other military objectives, or are themselves military objectives. </w:t>
      </w:r>
    </w:p>
    <w:p w14:paraId="0EE10E47"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b/>
          <w:bCs/>
          <w:sz w:val="28"/>
          <w:szCs w:val="28"/>
          <w:lang w:eastAsia="fr-FR"/>
        </w:rPr>
        <w:t>Official Gazette |17 </w:t>
      </w:r>
    </w:p>
    <w:p w14:paraId="6AED6B78"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Issue: 3245 - Thursday 21 January 2016 </w:t>
      </w:r>
    </w:p>
    <w:p w14:paraId="3140C4D8"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b/>
          <w:bCs/>
          <w:sz w:val="28"/>
          <w:szCs w:val="28"/>
          <w:lang w:eastAsia="fr-FR"/>
        </w:rPr>
        <w:t>The Fourth Protocol to the Convention on Conventional Weapons concerning Blinding Laser Weapons was adopted in Vienna on 13 October 1995. </w:t>
      </w:r>
    </w:p>
    <w:p w14:paraId="1CCC5BD3"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b/>
          <w:bCs/>
          <w:sz w:val="28"/>
          <w:szCs w:val="28"/>
          <w:lang w:eastAsia="fr-FR"/>
        </w:rPr>
        <w:t>Article (1) </w:t>
      </w:r>
    </w:p>
    <w:p w14:paraId="66EB80D2"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It is prohibited to employ laser weapons specifically designed, as their sole combat function or as one of their combat functions, to cause permanent blindness to unenhanced vision, that is to the naked eye or to the eye with corrective eyesight devices. The High Contracting Parties shall not transfer such weapons to any State or non-State entity. </w:t>
      </w:r>
    </w:p>
    <w:p w14:paraId="73B9E9F4"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b/>
          <w:bCs/>
          <w:sz w:val="28"/>
          <w:szCs w:val="28"/>
          <w:lang w:eastAsia="fr-FR"/>
        </w:rPr>
        <w:t>Article (2) </w:t>
      </w:r>
    </w:p>
    <w:p w14:paraId="3E512489"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In the employment of laser systems, the High Contracting Parties shall take all feasible precautions to avoid the incidence of permanent blindness to unenhanced vision. Such precautions shall include training of their armed forces and other practical measures. </w:t>
      </w:r>
    </w:p>
    <w:p w14:paraId="49F36F04"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b/>
          <w:bCs/>
          <w:sz w:val="28"/>
          <w:szCs w:val="28"/>
          <w:lang w:eastAsia="fr-FR"/>
        </w:rPr>
        <w:t>Article (3) </w:t>
      </w:r>
    </w:p>
    <w:p w14:paraId="1AF6BEBA"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Blinding as an incidental or collateral effect of the legitimate military employment of laser systems, including laser systems used against optical equipment, is not covered by the prohibition of this Protocol. </w:t>
      </w:r>
    </w:p>
    <w:p w14:paraId="06FFA9FC"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b/>
          <w:bCs/>
          <w:sz w:val="28"/>
          <w:szCs w:val="28"/>
          <w:lang w:eastAsia="fr-FR"/>
        </w:rPr>
        <w:t>Article (4) </w:t>
      </w:r>
    </w:p>
    <w:p w14:paraId="1928D5CE"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For the purpose of this protocol “permanent blindness” means irreversible and uncorrectable loss of vision which is seriously disabling with no prospect of recovery. Serious disability is equivalent to visual acuity of less than 20/200 Snellen measured using both eyes. </w:t>
      </w:r>
    </w:p>
    <w:p w14:paraId="4E9F0E96"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18 </w:t>
      </w:r>
    </w:p>
    <w:p w14:paraId="46FF66A9"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b/>
          <w:bCs/>
          <w:sz w:val="28"/>
          <w:szCs w:val="28"/>
          <w:lang w:eastAsia="fr-FR"/>
        </w:rPr>
        <w:t>18 Official Gazette </w:t>
      </w:r>
    </w:p>
    <w:p w14:paraId="4F1236E3"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Number: 3245 - Thursday 21 January 2016 </w:t>
      </w:r>
    </w:p>
    <w:p w14:paraId="08D085F9"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b/>
          <w:bCs/>
          <w:sz w:val="28"/>
          <w:szCs w:val="28"/>
          <w:lang w:eastAsia="fr-FR"/>
        </w:rPr>
        <w:t>Protocol V to the Convention on Conventional Weapons applied to Explosive Remnants of War 28 November 2003 </w:t>
      </w:r>
    </w:p>
    <w:p w14:paraId="42B05D53"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The High Contracting Parties, </w:t>
      </w:r>
    </w:p>
    <w:p w14:paraId="02F91804"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Recognizing the serious post-conflict humanitarian problems caused by explosive remnants of war, </w:t>
      </w:r>
    </w:p>
    <w:p w14:paraId="291B0348"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Conscious of the need to conclude a Protocol on post-conflict remedial measures of a generic nature in order to minimize the risks and effects of explosive remnants of war, </w:t>
      </w:r>
    </w:p>
    <w:p w14:paraId="0C59B2FC"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And willing to address generic preventive measures, through voluntary best practices specified in the Technical Annex for improving the reliability of munitions, and therefore minimizing the occurrence of explosive remnants of war, </w:t>
      </w:r>
    </w:p>
    <w:p w14:paraId="68341F26"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Have agreed as follows: </w:t>
      </w:r>
    </w:p>
    <w:p w14:paraId="329BD816"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b/>
          <w:bCs/>
          <w:sz w:val="28"/>
          <w:szCs w:val="28"/>
          <w:lang w:eastAsia="fr-FR"/>
        </w:rPr>
        <w:t>Article 1 </w:t>
      </w:r>
    </w:p>
    <w:p w14:paraId="1FBD9152"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b/>
          <w:bCs/>
          <w:sz w:val="28"/>
          <w:szCs w:val="28"/>
          <w:lang w:eastAsia="fr-FR"/>
        </w:rPr>
        <w:t>General provision and scope of application </w:t>
      </w:r>
    </w:p>
    <w:p w14:paraId="467CBBA6"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In conformity with the Charter of the United Nations and of the rules of the international law of armed conflict applicable to them, High Contracting Parties agree to comply with the obligations specified in this Protocol, both individually and in cooperation with other High Contracting Parties, to minimize the risks and effects of explosive remnants of war in post-conflict situations. </w:t>
      </w:r>
    </w:p>
    <w:p w14:paraId="3A37A65F"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This Protocol shall apply to explosive remnants of war on the land territory including internal waters of High Contracting Parties. </w:t>
      </w:r>
    </w:p>
    <w:p w14:paraId="03F666E7"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This Protocol shall apply to situations resulting from conflicts referred to in Article 1, paragraphs 1 to 6, of the Convention, as amended on 21 December 2001. </w:t>
      </w:r>
    </w:p>
    <w:p w14:paraId="1ED65DF9"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Articles 3, 4, 5 and 8 of this Protocol apply to explosive remnants of war other than existing explosive remnants of war as defined in Article 2, paragraph 5 of this Protocol. </w:t>
      </w:r>
    </w:p>
    <w:p w14:paraId="20DFD9D3"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b/>
          <w:bCs/>
          <w:sz w:val="28"/>
          <w:szCs w:val="28"/>
          <w:lang w:eastAsia="fr-FR"/>
        </w:rPr>
        <w:t>Article 2 </w:t>
      </w:r>
    </w:p>
    <w:p w14:paraId="46B42840"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b/>
          <w:bCs/>
          <w:sz w:val="28"/>
          <w:szCs w:val="28"/>
          <w:lang w:eastAsia="fr-FR"/>
        </w:rPr>
        <w:t>Definitions </w:t>
      </w:r>
    </w:p>
    <w:p w14:paraId="08790CB9"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For the Purposes of this Protocol, </w:t>
      </w:r>
    </w:p>
    <w:p w14:paraId="26E9D725"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Explosive ordnance means conventional munitions containing explosives, with the exception of mines, booby-traps and other devices as defined in Protocol II of this Convention as amended on 3 May 1996. </w:t>
      </w:r>
    </w:p>
    <w:p w14:paraId="73EF7A49"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Unexploded ordnance means explosive ordnance that has been primed, fused, armed, or otherwise prepared for use and used in an armed conflict. It may have been fired, dropped, launched or projected and should have exploded but failed to do so. </w:t>
      </w:r>
    </w:p>
    <w:p w14:paraId="4533262D"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Abandoned explosive ordnance means explosive ordnance that has not been used during an armed conflict, that has been left behind or dumped by a party to an armed conflict, and which is no longer under control of the party that left it behind or dumped it. Abandoned explosive ordnance may or may not have been primed, fused, armed or otherwise prepared for use. </w:t>
      </w:r>
    </w:p>
    <w:p w14:paraId="564C564D"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Explosive remnants of war means unexploded ordnance and abandoned explosive ordnance. </w:t>
      </w:r>
    </w:p>
    <w:p w14:paraId="4997AC87"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Existing explosive remnants of war means unexploded ordnance and abandoned explosive ordnance that existed prior to the entry into force of this Protocol for the High Contracting Party on whose territory it exists. </w:t>
      </w:r>
    </w:p>
    <w:p w14:paraId="5AC287BD"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b/>
          <w:bCs/>
          <w:sz w:val="28"/>
          <w:szCs w:val="28"/>
          <w:lang w:eastAsia="fr-FR"/>
        </w:rPr>
        <w:t>Article 3 </w:t>
      </w:r>
    </w:p>
    <w:p w14:paraId="73DE4F8C"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b/>
          <w:bCs/>
          <w:sz w:val="28"/>
          <w:szCs w:val="28"/>
          <w:lang w:eastAsia="fr-FR"/>
        </w:rPr>
        <w:t>Clearance, removal or destruction of explosive remnants of war </w:t>
      </w:r>
    </w:p>
    <w:p w14:paraId="329EB1A9"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Each High Contracting Party and party to an armed conflict shall bear the responsibilities set out in this Article with respect to all explosive remnants of war in territory under its control. In cases where a user of explosive ordnance which has become explosive remnants of war, does not exercise control of the territory, the user shall, after the cessation of active hostilities, provide where feasible, inter alia technical, financial, material or human resources assistance, bilaterally or through a mutually agreed third party, including inter alia through the United Nations system or other relevant organizations, to facilitate the marking and clearance, removal or destruction of such explosive remnants of war. </w:t>
      </w:r>
    </w:p>
    <w:p w14:paraId="0D12675B"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After the cessation of active hostilities and as soon as feasible, each High Contracting Party and party to an armed conflict shall mark and clear, remove or destroy explosive remnants of war in affected territories under its control.  Areas affected by explosive remnants of war which are assessed pursuant to paragraph 3 of this Article as posing a serious humanitarian risk shall be accorded priority status for clearance, removal or destruction. </w:t>
      </w:r>
    </w:p>
    <w:p w14:paraId="1613C210"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After the cessation of active hostilities and as soon as feasible, each High Contracting Party and party to an armed conflict shall take the following measures in affected territories under its control, to reduce the risks posed by explosive remnants of war: </w:t>
      </w:r>
    </w:p>
    <w:p w14:paraId="0F08958A"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survey and assess the threat posed by explosive remnants of war; </w:t>
      </w:r>
    </w:p>
    <w:p w14:paraId="575D8BAC"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assess and prioritize needs and practicability in terms of marking and clearance, removal or destruction; </w:t>
      </w:r>
    </w:p>
    <w:p w14:paraId="3AC43CB2"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mark and clear, remove or destroy explosive remnants of war ;  </w:t>
      </w:r>
    </w:p>
    <w:p w14:paraId="15595222"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take steps to mobilize resources to carry out these activities. </w:t>
      </w:r>
    </w:p>
    <w:p w14:paraId="1EB0912F"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In conducting the above activities High Contracting Parties and parties to an armed conflict shall take into account international standards, including the International Mine Action Standards. </w:t>
      </w:r>
    </w:p>
    <w:p w14:paraId="76BE7FB4"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High Contracting Parties shall co-operate, where appropriate, both among themselves and with other states, relevant regional and international organizations and non-governmental organizations on the provision of inter alia technical, financial, material and human resources assistance including, in appropriate circumstances, the undertaking of joint operations necessary to fulfil the provisions of this Article. </w:t>
      </w:r>
    </w:p>
    <w:p w14:paraId="05360F1C"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b/>
          <w:bCs/>
          <w:sz w:val="28"/>
          <w:szCs w:val="28"/>
          <w:lang w:eastAsia="fr-FR"/>
        </w:rPr>
        <w:t>Article 4 </w:t>
      </w:r>
    </w:p>
    <w:p w14:paraId="05EE5C3F"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b/>
          <w:bCs/>
          <w:sz w:val="28"/>
          <w:szCs w:val="28"/>
          <w:lang w:eastAsia="fr-FR"/>
        </w:rPr>
        <w:t>Recording, retaining and transmission of information </w:t>
      </w:r>
    </w:p>
    <w:p w14:paraId="2455A3C5"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High Contracting Parties and parties to an armed conflict shall to the maximum extent possible and as far as practicable record and retain information on the use of explosive ordnance or abandonment of explosive ordnance, to facilitate the rapid marking and clearance, removal or destruction of explosive remnants of war, risk education and the provision of relevant information to the party in control of the territory and to civilian populations in that territory. </w:t>
      </w:r>
    </w:p>
    <w:p w14:paraId="04788FF7"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High Contracting Parties and parties to an armed conflict which have used or abandoned explosive ordnance which may have become explosive remnants of war shall, without delay after the cessation of active hostilities and as far as practicable, subject to these parties’ legitimate security interests, make available such information to the party or parties in control of the affected area, bilaterally or through a mutually agreed third party including inter alia the United Nations or, upon request, to other relevant organizations which the party providing the information is satisfied that they are or will be undertaking risk education and the marking and clearance, removal or destruction of explosive remnants of war in the affected area. </w:t>
      </w:r>
    </w:p>
    <w:p w14:paraId="2037B094"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In recording, retaining and transmitting such information, the High Contracting Parties should have regard to Part 1 of the Technical Annex. </w:t>
      </w:r>
    </w:p>
    <w:p w14:paraId="137DD9F0"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b/>
          <w:bCs/>
          <w:sz w:val="28"/>
          <w:szCs w:val="28"/>
          <w:lang w:eastAsia="fr-FR"/>
        </w:rPr>
        <w:t>Article 5 </w:t>
      </w:r>
    </w:p>
    <w:p w14:paraId="5E1E7A31"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b/>
          <w:bCs/>
          <w:sz w:val="28"/>
          <w:szCs w:val="28"/>
          <w:lang w:eastAsia="fr-FR"/>
        </w:rPr>
        <w:t>Other precautions for the protection of the civilian population, individual civilians and civilian objects from the risks and effects of explosive remnants of war </w:t>
      </w:r>
    </w:p>
    <w:p w14:paraId="524297DF"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High Contracting Parties and parties to an armed conflict shall take all feasible precautions in the territory under their control affected by explosive remnants of war to protect the civilian population, individual civilians and civilian objects from the risks and effects of explosive remnants of war. Feasible precautions are those precautions which are practicable or practicably possible, taking into account all circumstances ruling at the time, including humanitarian and military considerations.  These precautions may include warnings, risk education to the civilian population, marking, fencing and monitoring of territory affected by explosive remnants of war, as set out in Part 2 of the Technical Annex. </w:t>
      </w:r>
    </w:p>
    <w:p w14:paraId="5FC91955"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b/>
          <w:bCs/>
          <w:sz w:val="28"/>
          <w:szCs w:val="28"/>
          <w:lang w:eastAsia="fr-FR"/>
        </w:rPr>
        <w:t>Article 6 </w:t>
      </w:r>
    </w:p>
    <w:p w14:paraId="40DDAB1E"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b/>
          <w:bCs/>
          <w:sz w:val="28"/>
          <w:szCs w:val="28"/>
          <w:lang w:eastAsia="fr-FR"/>
        </w:rPr>
        <w:t>Provisions for the protection of humanitarian missions and organizations from the effects of explosive remnants of war </w:t>
      </w:r>
    </w:p>
    <w:p w14:paraId="12FA848E"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Each High Contracting Party and party to an armed conflict shall: </w:t>
      </w:r>
    </w:p>
    <w:p w14:paraId="2FBBE938"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Protect, as far as feasible, from the effects of explosive remnants of war, humanitarian missions and organizations that are or will be operating in the area under the control of the High Contracting Party or party to an armed conflict and with that party’s consent. </w:t>
      </w:r>
    </w:p>
    <w:p w14:paraId="56EED492"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Upon request by such a humanitarian mission or organization, provide, as far as feasible, information on the location of all explosive remnants of war that it is aware of in territory where the requesting humanitarian mission or organization will operate or is operating. </w:t>
      </w:r>
    </w:p>
    <w:p w14:paraId="235DCCF7"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The provisions of this Article are without prejudice to existing International Humanitarian Law or other international instruments as applicable or decisions by the Security Council of the United Nations which provide for a higher level of protection. </w:t>
      </w:r>
    </w:p>
    <w:p w14:paraId="608CF718"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b/>
          <w:bCs/>
          <w:sz w:val="28"/>
          <w:szCs w:val="28"/>
          <w:lang w:eastAsia="fr-FR"/>
        </w:rPr>
        <w:t>Article 7 </w:t>
      </w:r>
    </w:p>
    <w:p w14:paraId="1AF04BFB"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b/>
          <w:bCs/>
          <w:sz w:val="28"/>
          <w:szCs w:val="28"/>
          <w:lang w:eastAsia="fr-FR"/>
        </w:rPr>
        <w:t>Assistance with respect to existing explosive remnants of war </w:t>
      </w:r>
    </w:p>
    <w:p w14:paraId="0F9FA41E"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Each High Contracting Party has the right to seek and receive assistance, where appropriate, from other High Contracting Parties, from states non-party and relevant international organizations and institutions in dealing with the problems posed by existing explosive remnants of war. </w:t>
      </w:r>
    </w:p>
    <w:p w14:paraId="7A67D4C2"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Each High Contracting Party in a position to do so shall provide assistance in dealing with the problems posed by existing explosive remnants of war, as necessary and feasible. In so doing, High Contracting Parties shall also take into account the humanitarian objectives of this Protocol, as well as international standards including the International Mine Action Standards. </w:t>
      </w:r>
    </w:p>
    <w:p w14:paraId="7C5A09B7"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b/>
          <w:bCs/>
          <w:sz w:val="28"/>
          <w:szCs w:val="28"/>
          <w:lang w:eastAsia="fr-FR"/>
        </w:rPr>
        <w:t>Article 8 </w:t>
      </w:r>
    </w:p>
    <w:p w14:paraId="25339968"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b/>
          <w:bCs/>
          <w:sz w:val="28"/>
          <w:szCs w:val="28"/>
          <w:lang w:eastAsia="fr-FR"/>
        </w:rPr>
        <w:t>Co-operation and assistance </w:t>
      </w:r>
    </w:p>
    <w:p w14:paraId="47910239"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Each High Contracting Party in a position to do so shall provide assistance for the marking and clearance, removal or destruction of explosive remnants of war, and for risk education to civilian populations and related activities inter alia through the United Nations system, other relevant international, regional or national organizations or institutions, the International Committee of the Red Cross, National Red Cross and Red Crescent Societies and their International Federation, non-governmental organizations, or on a bilateral basis. </w:t>
      </w:r>
    </w:p>
    <w:p w14:paraId="210F1D93"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Each High Contracting Party in a position to do so shall provide assistance for the care and rehabilitation and social and economic reintegration of victims of explosive remnants of war. Such assistance may be provided inter alia through the United Nations system, relevant international, regional or national organizations or institutions, the International Committee of the Red Cross, National Red Cross and Red Crescent Societies and their International Federation, non-governmental organizations, or on a bilateral basis. </w:t>
      </w:r>
    </w:p>
    <w:p w14:paraId="5BEE5436"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Each High Contracting Party in a position to do so shall contribute to trust funds within the United Nations system, as well as other relevant trust funds, to facilitate the provision of assistance under this Protocol. </w:t>
      </w:r>
    </w:p>
    <w:p w14:paraId="61218437"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Each High Contracting Party shall have the right to participate in the fullest possible exchange of equipment, material and scientific and technological information other than weapons related technology, necessary for the implementation of this Protocol. High Contracting Parties undertake to facilitate such exchanges in accordance with national legislation and shall not impose undue restrictions on the provision of clearance equipment and related technological information for humanitarian purposes. </w:t>
      </w:r>
    </w:p>
    <w:p w14:paraId="5DDA21B2"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Each High Contracting Party undertakes to provide information to the relevant databases on mine action established within the United Nations system, especially information concerning various means and technologies of clearance of explosive remnants of war, lists of experts, expert agencies or national points of contact on clearance of explosive remnants of war and, on a voluntary basis, technical information on relevant types of explosive ordnance. </w:t>
      </w:r>
    </w:p>
    <w:p w14:paraId="144BA333"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High Contracting Parties may submit requests for assistance substantiated by relevant information to the United Nations, to other appropriate bodies or to other states. These requests may be submitted to the Secretary-General of the United Nations, who shall transmit them to all High Contracting Parties and to relevant international organizations and non-governmental organizations. </w:t>
      </w:r>
    </w:p>
    <w:p w14:paraId="34C0A6D5"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In the case of requests to the United Nations, the Secretary- General of the United Nations, within the resources available to the Secretary-General of the United Nations, may take appropriate steps to assess the situation and in co-operation with the requesting High Contracting Party and other High Contracting Parties with responsibility as set out in Article 3 above, recommend the appropriate provision of assistance. The Secretary-General may also report to High Contracting Parties on any such assessment as well as on the type and scope of assistance required, including possible contributions from the trust funds established within the United Nations system. </w:t>
      </w:r>
    </w:p>
    <w:p w14:paraId="5DCD01E8"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b/>
          <w:bCs/>
          <w:sz w:val="28"/>
          <w:szCs w:val="28"/>
          <w:lang w:eastAsia="fr-FR"/>
        </w:rPr>
        <w:t>Article 9 </w:t>
      </w:r>
    </w:p>
    <w:p w14:paraId="1CCF1AE4"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b/>
          <w:bCs/>
          <w:sz w:val="28"/>
          <w:szCs w:val="28"/>
          <w:lang w:eastAsia="fr-FR"/>
        </w:rPr>
        <w:t>Generic preventive measures </w:t>
      </w:r>
    </w:p>
    <w:p w14:paraId="50476F19"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Bearing in mind the different situations and capacities, each High Contracting Party is encouraged to take generic preventive measures aimed at minimizing the occurrence of explosive remnants of war, including, but not limited to, those referred to in Part 3 of the Technical Annex. </w:t>
      </w:r>
    </w:p>
    <w:p w14:paraId="5F7DFCDA"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Each High Contracting Party may, on a voluntary basis, exchange information related to efforts to promote and establish best practices in respect of paragraph 1 of this Article. </w:t>
      </w:r>
    </w:p>
    <w:p w14:paraId="7F5A312D"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b/>
          <w:bCs/>
          <w:sz w:val="28"/>
          <w:szCs w:val="28"/>
          <w:lang w:eastAsia="fr-FR"/>
        </w:rPr>
        <w:t>Article (10) </w:t>
      </w:r>
    </w:p>
    <w:p w14:paraId="421D8076"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b/>
          <w:bCs/>
          <w:sz w:val="28"/>
          <w:szCs w:val="28"/>
          <w:lang w:eastAsia="fr-FR"/>
        </w:rPr>
        <w:t>Consultations of High Contracting Parties </w:t>
      </w:r>
    </w:p>
    <w:p w14:paraId="00D6051D"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The High Contracting Parties undertake to consult and cooperate with each other on all issues related to the operation of this Protocol. For this purpose, a Conference of High Contracting Parties shall be held as agreed to by a majority, but no less than eighteen High Contracting Parties. </w:t>
      </w:r>
    </w:p>
    <w:p w14:paraId="2D8EDFA3"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The work of the conferences of High Contracting Parties shall include: </w:t>
      </w:r>
    </w:p>
    <w:p w14:paraId="5D26293C"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review of the status and operation of this Protocol; </w:t>
      </w:r>
    </w:p>
    <w:p w14:paraId="1C08D0E8"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consideration of matters pertaining to national implementation of this Protocol, including national reporting or updating on an annual basis. </w:t>
      </w:r>
    </w:p>
    <w:p w14:paraId="194317DF"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preparation for review conferences. </w:t>
      </w:r>
    </w:p>
    <w:p w14:paraId="3DF77358"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The costs of the Conference of High Contracting Parties shall be borne by the High Contracting Parties and States not parties participating in the Conference, in accordance with the United Nations scale of assessment adjusted appropriately. </w:t>
      </w:r>
    </w:p>
    <w:p w14:paraId="5910CCAF"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b/>
          <w:bCs/>
          <w:sz w:val="28"/>
          <w:szCs w:val="28"/>
          <w:lang w:eastAsia="fr-FR"/>
        </w:rPr>
        <w:t>Article 11 </w:t>
      </w:r>
    </w:p>
    <w:p w14:paraId="74894DFB"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b/>
          <w:bCs/>
          <w:sz w:val="28"/>
          <w:szCs w:val="28"/>
          <w:lang w:eastAsia="fr-FR"/>
        </w:rPr>
        <w:t>Compliance </w:t>
      </w:r>
    </w:p>
    <w:p w14:paraId="5281926A"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Each High Contracting Party shall require that its armed forces and relevant agencies or departments issue appropriate instructions and operating procedures and that its personnel receive training consistent with the relevant provisions of this Protocol. </w:t>
      </w:r>
    </w:p>
    <w:p w14:paraId="4FDACCA4"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The High Contracting Parties undertake to consult each other and to co-operate with each other bilaterally, through the Secretary-General of the United Nations or through other appropriate international procedures, to resolve any problems that may arise with regard to the interpretation and application of the provisions of this Protocol. </w:t>
      </w:r>
    </w:p>
    <w:p w14:paraId="17E98B25"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b/>
          <w:bCs/>
          <w:sz w:val="28"/>
          <w:szCs w:val="28"/>
          <w:lang w:eastAsia="fr-FR"/>
        </w:rPr>
        <w:t>Technical Annex </w:t>
      </w:r>
    </w:p>
    <w:p w14:paraId="758BBC91"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This Technical Annex contains suggested best practice for achieving the objectives contained in Articles 4, 5 and 9 of this Protocol.  This Technical Annex will be implemented by High Contracting Parties on a voluntary basis. </w:t>
      </w:r>
    </w:p>
    <w:p w14:paraId="0CCDF460"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b/>
          <w:bCs/>
          <w:sz w:val="28"/>
          <w:szCs w:val="28"/>
          <w:lang w:eastAsia="fr-FR"/>
        </w:rPr>
        <w:t>Recording, storage and release of information for Unexploded Ordnance (UXO) and Abandoned Explosive Ordnance (AXO) </w:t>
      </w:r>
    </w:p>
    <w:p w14:paraId="5424B75A"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Recording of information: regarding explosive ordnance which may have become UXO, a State should endeavour to record the following information as accurately as possible: </w:t>
      </w:r>
    </w:p>
    <w:p w14:paraId="1F9AE58B"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“1” the location of areas targeted using explosive ordnance; </w:t>
      </w:r>
    </w:p>
    <w:p w14:paraId="1464C3EA"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“2” the approximate number of explosive ordnance used in the areas under “1”  </w:t>
      </w:r>
    </w:p>
    <w:p w14:paraId="78BCA73F"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“3” the type and nature of explosive ordnance used in areas under “1”  </w:t>
      </w:r>
    </w:p>
    <w:p w14:paraId="78690169"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“4” the general location of known and probable UXO. </w:t>
      </w:r>
    </w:p>
    <w:p w14:paraId="6F681E24"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where a State has been obliged to abandon explosive ordnance in the course of operations, it should endeavour to leave AXO in a safe and secure manner and record information on this ordnance as follows: </w:t>
      </w:r>
    </w:p>
    <w:p w14:paraId="085934CE"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“5” the location of AXO; </w:t>
      </w:r>
    </w:p>
    <w:p w14:paraId="614B81B3"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“6” the approximate amount of AXO at each specific site; </w:t>
      </w:r>
    </w:p>
    <w:p w14:paraId="28BB9914"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“7” the types of AXO at each specific site. </w:t>
      </w:r>
    </w:p>
    <w:p w14:paraId="3FEC6111"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Storage of information: where a State has recorded information in accordance with paragraph (a), it should be stored in such a manner as to allow for its retrieval and subsequent release in accordance with paragraph (c). </w:t>
      </w:r>
    </w:p>
    <w:p w14:paraId="6A54A9FB"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Release of information: information recorded and stored by a State in accordance with paragraphs (a) and (b) should, taking into account the security interests and other obligations of the State providing the information, be released in accordance with the following provisions: </w:t>
      </w:r>
    </w:p>
    <w:p w14:paraId="4D09F619"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b/>
          <w:bCs/>
          <w:sz w:val="28"/>
          <w:szCs w:val="28"/>
          <w:lang w:eastAsia="fr-FR"/>
        </w:rPr>
        <w:t>"1" Content: </w:t>
      </w:r>
    </w:p>
    <w:p w14:paraId="1232F6D9"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On UXO the released information should contain details on: </w:t>
      </w:r>
    </w:p>
    <w:p w14:paraId="4834AD89"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the general location of known and probable UXO; </w:t>
      </w:r>
    </w:p>
    <w:p w14:paraId="27F23E48"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the types and approximate number of explosive ordnance used in the targeted areas; </w:t>
      </w:r>
    </w:p>
    <w:p w14:paraId="134C1E03"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the method of identifying the explosive ordnance including colour, size and shape and other relevant markings; </w:t>
      </w:r>
    </w:p>
    <w:p w14:paraId="6A280200"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the method for safe disposal of the explosive ordnance. </w:t>
      </w:r>
    </w:p>
    <w:p w14:paraId="1BE19A96"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On AXO the released information should contain details on: </w:t>
      </w:r>
    </w:p>
    <w:p w14:paraId="38F42524"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the location of the AXO; </w:t>
      </w:r>
    </w:p>
    <w:p w14:paraId="094195D9"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the approximate number of AXO at each specific site; </w:t>
      </w:r>
    </w:p>
    <w:p w14:paraId="341E490D"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the types of AXO at each specific site; </w:t>
      </w:r>
    </w:p>
    <w:p w14:paraId="08E53970"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the method of identifying the AXO, including colour, size and shape; </w:t>
      </w:r>
    </w:p>
    <w:p w14:paraId="5CD93CA0"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information on type and methods of packing for AXO; </w:t>
      </w:r>
    </w:p>
    <w:p w14:paraId="14F7B625"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state of readiness; </w:t>
      </w:r>
    </w:p>
    <w:p w14:paraId="7E13721E"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the location and nature of any booby-traps known to be present in the area of AXO. </w:t>
      </w:r>
    </w:p>
    <w:p w14:paraId="4B0DF072"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b/>
          <w:bCs/>
          <w:sz w:val="28"/>
          <w:szCs w:val="28"/>
          <w:lang w:eastAsia="fr-FR"/>
        </w:rPr>
        <w:t>"2" Recipient: </w:t>
      </w:r>
      <w:r w:rsidRPr="00E22390">
        <w:rPr>
          <w:rFonts w:ascii="Arial" w:eastAsia="Times New Roman" w:hAnsi="Arial" w:cs="Arial"/>
          <w:sz w:val="28"/>
          <w:szCs w:val="28"/>
          <w:lang w:eastAsia="fr-FR"/>
        </w:rPr>
        <w:t>the information should be released to the party or parties in control of the affected territory and to those persons or institutions that the releasing State is satisfied are, or will be, involved in UXO or AXO clearance in the affected area, in the education of the civilian population on the risks of UXO or AXO. </w:t>
      </w:r>
    </w:p>
    <w:p w14:paraId="70CE0F84"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b/>
          <w:bCs/>
          <w:sz w:val="28"/>
          <w:szCs w:val="28"/>
          <w:lang w:eastAsia="fr-FR"/>
        </w:rPr>
        <w:t>"3" Mechanism: </w:t>
      </w:r>
      <w:r w:rsidRPr="00E22390">
        <w:rPr>
          <w:rFonts w:ascii="Arial" w:eastAsia="Times New Roman" w:hAnsi="Arial" w:cs="Arial"/>
          <w:sz w:val="28"/>
          <w:szCs w:val="28"/>
          <w:lang w:eastAsia="fr-FR"/>
        </w:rPr>
        <w:t>a State should, where feasible, make use of those mechanisms established internationally or locally for the release of information, such as through UNMAS, IMSMA, and other expert agencies, as considered appropriate by the releasing State. </w:t>
      </w:r>
    </w:p>
    <w:p w14:paraId="2C362D72"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b/>
          <w:bCs/>
          <w:sz w:val="28"/>
          <w:szCs w:val="28"/>
          <w:lang w:eastAsia="fr-FR"/>
        </w:rPr>
        <w:t>"4" Timing: </w:t>
      </w:r>
      <w:r w:rsidRPr="00E22390">
        <w:rPr>
          <w:rFonts w:ascii="Arial" w:eastAsia="Times New Roman" w:hAnsi="Arial" w:cs="Arial"/>
          <w:sz w:val="28"/>
          <w:szCs w:val="28"/>
          <w:lang w:eastAsia="fr-FR"/>
        </w:rPr>
        <w:t>the information should be released as soon as possible, taking into account such matters as any ongoing military and humanitarian operations in the affected areas, the availability and reliability of information and relevant security issues. </w:t>
      </w:r>
    </w:p>
    <w:p w14:paraId="357A36DF"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b/>
          <w:bCs/>
          <w:sz w:val="28"/>
          <w:szCs w:val="28"/>
          <w:lang w:eastAsia="fr-FR"/>
        </w:rPr>
        <w:t>Warnings, risk education, marking, fencing and monitoring </w:t>
      </w:r>
    </w:p>
    <w:p w14:paraId="2C97D54A"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b/>
          <w:bCs/>
          <w:sz w:val="28"/>
          <w:szCs w:val="28"/>
          <w:lang w:eastAsia="fr-FR"/>
        </w:rPr>
        <w:t>Key terms </w:t>
      </w:r>
    </w:p>
    <w:p w14:paraId="57DE4E46"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Warnings are the punctual provision of cautionary information to the civilian population, intended to minimize risks caused by explosive remnants of war in affected territories. </w:t>
      </w:r>
    </w:p>
    <w:p w14:paraId="066DBDD5"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Risk education to the civilian population should consist of risk education programmes to facilitate information exchange between affected communities, government authorities and humanitarian organizations so that affected communities are informed about the threat from explosive remnants of war. Risk education programmes are usually a long-term activity. </w:t>
      </w:r>
    </w:p>
    <w:p w14:paraId="3B184528"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Best practice elements of warnings and risk education </w:t>
      </w:r>
    </w:p>
    <w:p w14:paraId="2D21F2E3"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All programmes of warnings and risk education should, where possible, take into account prevailing national and international standards, including the International Mine Action Standards. </w:t>
      </w:r>
    </w:p>
    <w:p w14:paraId="0A6FC2C3"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Warnings and risk education should be provided to the affected civilian population which comprises civilians living in or around areas containing explosive remnants of war and civilians who transit such areas. </w:t>
      </w:r>
    </w:p>
    <w:p w14:paraId="7C8F7393"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Warnings should be given, as soon as possible, depending on the context and the information available. A risk education programme should replace a warnings programme as soon as possible.  Warnings and risk education always should be provided to the affected communities at the earliest possible time. </w:t>
      </w:r>
    </w:p>
    <w:p w14:paraId="2651CC35"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Parties to a conflict should employ third parties such as international organizations and non-governmental organizations when they do not have the resources and skills to deliver efficient risk education. </w:t>
      </w:r>
    </w:p>
    <w:p w14:paraId="2B13E632"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Parties to a conflict should, if possible, provide additional resources for warnings and risk education.  Such items might include:  provision of logistical support, production of risk education materials, financial support and general cartographic information. </w:t>
      </w:r>
    </w:p>
    <w:p w14:paraId="3572D6F2"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Marking, fencing, and monitoring of an explosive remnants of war affected area </w:t>
      </w:r>
    </w:p>
    <w:p w14:paraId="11ACC008"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When possible, at any time during the course of a conflict and thereafter, where explosive remnants of war exist the parties to a conflict should, at the earliest possible time and to the maximum extent possible, ensure that areas containing explosive remnants of war are marked, fenced and monitored so as to ensure the effective exclusion of civilians, in accordance with the following provisions. </w:t>
      </w:r>
    </w:p>
    <w:p w14:paraId="2B4FBCA3"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Warning signs based on methods of marking recognized by the affected community should be utilized in the marking of suspected hazardous areas.  Signs and other hazardous area boundary markers should as far as possible be visible, legible, durable and resistant to environmental effects and should clearly identify which side of the marked boundary is considered to be within the explosive remnants of war affected area and which side is considered to be safe. </w:t>
      </w:r>
    </w:p>
    <w:p w14:paraId="2D0488DD"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An appropriate structure should be put in place with responsibility for the monitoring and maintenance of permanent and temporary marking systems, integrated with national and local risk education programmes. </w:t>
      </w:r>
    </w:p>
    <w:p w14:paraId="22036359"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b/>
          <w:bCs/>
          <w:sz w:val="28"/>
          <w:szCs w:val="28"/>
          <w:lang w:eastAsia="fr-FR"/>
        </w:rPr>
        <w:t>Generic preventive measures </w:t>
      </w:r>
    </w:p>
    <w:p w14:paraId="770717BC"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States producing or procuring explosive ordnance should to the extent possible and as appropriate endeavour to ensure that the following measures are implemented and respected during the life-cycle of explosive ordnance. </w:t>
      </w:r>
    </w:p>
    <w:p w14:paraId="66266F4C"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b/>
          <w:bCs/>
          <w:sz w:val="28"/>
          <w:szCs w:val="28"/>
          <w:lang w:eastAsia="fr-FR"/>
        </w:rPr>
        <w:t>Munitions manufacturing management </w:t>
      </w:r>
    </w:p>
    <w:p w14:paraId="6B8894F1"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“1” Production processes should be designed to achieve the greatest reliability of munitions. </w:t>
      </w:r>
    </w:p>
    <w:p w14:paraId="71C6D5B0"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“2” Production processes should be subject to certified quality control measures. </w:t>
      </w:r>
    </w:p>
    <w:p w14:paraId="7400AFC1"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“3” During the production of explosive ordnance, certified quality assurance standards that are internationally recognized should be applied. </w:t>
      </w:r>
    </w:p>
    <w:p w14:paraId="596371D4"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“4” Acceptance testing should be conducted through live-fire testing over a range of conditions or through other validated procedures. </w:t>
      </w:r>
    </w:p>
    <w:p w14:paraId="5712AF73"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“5” High reliability standards should be required in the course of explosive ordnance transactions and transfers. </w:t>
      </w:r>
    </w:p>
    <w:p w14:paraId="02E1BC07"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b/>
          <w:bCs/>
          <w:sz w:val="28"/>
          <w:szCs w:val="28"/>
          <w:lang w:eastAsia="fr-FR"/>
        </w:rPr>
        <w:t>Munitions management </w:t>
      </w:r>
    </w:p>
    <w:p w14:paraId="28F70594"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In order to ensure the best possible long-term reliability of explosive ordnance, States are encouraged to apply best practice norms and operating procedures with respect to its storage, transport, field storage, and handling in accordance with the following guidance. </w:t>
      </w:r>
    </w:p>
    <w:p w14:paraId="279DB89D"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“1” Explosive ordnance, where necessary, should be stored in secure facilities or appropriate containers that protect the explosive ordnance and its components in a controlled atmosphere, if necessary. </w:t>
      </w:r>
    </w:p>
    <w:p w14:paraId="68C03234"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“2” A State should transport explosive ordnance to and from production facilities, storage facilities and the field in a manner that minimizes damage to the explosive ordnance. </w:t>
      </w:r>
    </w:p>
    <w:p w14:paraId="3052E68F"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“3” Appropriate containers and controlled environments, where necessary, should be used by a State when stockpiling and transporting explosive ordnance. </w:t>
      </w:r>
    </w:p>
    <w:p w14:paraId="7763C47A"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“4” The risk of explosions in stockpiles should be minimized by the use of appropriate stockpile arrangements. </w:t>
      </w:r>
    </w:p>
    <w:p w14:paraId="497575EE"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“5” States should apply appropriate explosive ordnance logging, tracking and testing procedures, which should include information on the date of manufacture of each number, lot or batch of explosive ordnance, and information on where the explosive ordnance has been, under what conditions it has been stored, and to what environmental factors it has been exposed. </w:t>
      </w:r>
    </w:p>
    <w:p w14:paraId="3A39FDCF"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“6” Periodically, stockpiled explosive ordnance should undergo, where appropriate, live-firing testing to ensure that munitions function as desired. </w:t>
      </w:r>
    </w:p>
    <w:p w14:paraId="5DCAB993"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“7” Sub-assemblies of stockpiled explosive ordnance should, where appropriate, undergo laboratory testing to ensure that munitions function as desired. </w:t>
      </w:r>
    </w:p>
    <w:p w14:paraId="453E3244"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“8” Where necessary, appropriate action, including adjustment to the expected shelf-life of ordnance, should be taken as a result of information acquired by logging, tracking and testing procedures, in order to maintain the reliability of stockpiled explosive ordnance. </w:t>
      </w:r>
    </w:p>
    <w:p w14:paraId="7E1B29D3"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b/>
          <w:bCs/>
          <w:sz w:val="28"/>
          <w:szCs w:val="28"/>
          <w:lang w:eastAsia="fr-FR"/>
        </w:rPr>
        <w:t>Training </w:t>
      </w:r>
    </w:p>
    <w:p w14:paraId="73207CA9"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The proper training of all personnel involved in the handling, transporting and use of explosive ordnance is an important factor in seeking to ensure its reliable operation as intended. States should therefore adopt and maintain suitable training programmes to ensure that personnel are properly trained with regard to the munitions with which they will be required to deal. </w:t>
      </w:r>
    </w:p>
    <w:p w14:paraId="405B46B9"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b/>
          <w:bCs/>
          <w:sz w:val="28"/>
          <w:szCs w:val="28"/>
          <w:lang w:eastAsia="fr-FR"/>
        </w:rPr>
        <w:t>Transfer </w:t>
      </w:r>
    </w:p>
    <w:p w14:paraId="08B4ED45"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A State planning to transfer explosive ordnance to another State that did not previously possess that type of explosive ordnance should endeavour to ensure that the receiving State has the capability to store, maintain and use that explosive ordnance correctly. </w:t>
      </w:r>
    </w:p>
    <w:p w14:paraId="1FFF1D2D"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b/>
          <w:bCs/>
          <w:sz w:val="28"/>
          <w:szCs w:val="28"/>
          <w:lang w:eastAsia="fr-FR"/>
        </w:rPr>
        <w:t>Future production </w:t>
      </w:r>
    </w:p>
    <w:p w14:paraId="190F082A" w14:textId="77777777" w:rsidR="00E22390" w:rsidRPr="00E22390" w:rsidRDefault="00E22390" w:rsidP="00704DA2">
      <w:pPr>
        <w:spacing w:before="120" w:after="0" w:line="360" w:lineRule="auto"/>
        <w:rPr>
          <w:rFonts w:ascii="Arial" w:eastAsia="Times New Roman" w:hAnsi="Arial" w:cs="Arial"/>
          <w:sz w:val="28"/>
          <w:szCs w:val="28"/>
          <w:lang w:eastAsia="fr-FR"/>
        </w:rPr>
      </w:pPr>
      <w:r w:rsidRPr="00E22390">
        <w:rPr>
          <w:rFonts w:ascii="Arial" w:eastAsia="Times New Roman" w:hAnsi="Arial" w:cs="Arial"/>
          <w:sz w:val="28"/>
          <w:szCs w:val="28"/>
          <w:lang w:eastAsia="fr-FR"/>
        </w:rPr>
        <w:t>A State should examine ways and means of improving the reliability of explosive ordnance that it intends to produce or procure, with a view to achieving the highest possible reliability. </w:t>
      </w:r>
    </w:p>
    <w:p w14:paraId="70B8EB4D" w14:textId="77777777" w:rsidR="00E22390" w:rsidRPr="00E22390" w:rsidRDefault="00E22390" w:rsidP="00704DA2">
      <w:pPr>
        <w:spacing w:before="120" w:after="0" w:line="360" w:lineRule="auto"/>
        <w:rPr>
          <w:rFonts w:ascii="Arial" w:hAnsi="Arial" w:cs="Arial"/>
          <w:sz w:val="28"/>
          <w:szCs w:val="28"/>
        </w:rPr>
      </w:pPr>
    </w:p>
    <w:sectPr w:rsidR="00E22390" w:rsidRPr="00E22390" w:rsidSect="00FA38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390"/>
    <w:rsid w:val="000129C5"/>
    <w:rsid w:val="00704DA2"/>
    <w:rsid w:val="00815AD9"/>
    <w:rsid w:val="00DA6ABB"/>
    <w:rsid w:val="00E22390"/>
    <w:rsid w:val="00FA389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0789F3"/>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character" w:customStyle="1" w:styleId="locked">
    <w:name w:val="lock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24F91-1AA6-418F-ABEB-496773643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7281</Words>
  <Characters>41503</Characters>
  <Application>Microsoft Office Word</Application>
  <DocSecurity>0</DocSecurity>
  <Lines>345</Lines>
  <Paragraphs>97</Paragraphs>
  <ScaleCrop>false</ScaleCrop>
  <Company/>
  <LinksUpToDate>false</LinksUpToDate>
  <CharactersWithSpaces>48687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2024-05-14T09:07:00Z</dcterms:created>
  <dcterms:modified xsi:type="dcterms:W3CDTF">2024-05-15T18:16:00Z</dcterms:modified>
</cp:coreProperties>
</file>