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E31D3" w14:textId="77777777" w:rsidR="00201068" w:rsidRPr="00201068" w:rsidRDefault="00201068" w:rsidP="00624E3F">
      <w:pPr>
        <w:spacing w:before="120" w:after="0" w:line="360" w:lineRule="auto"/>
        <w:rPr>
          <w:rFonts w:ascii="Arial" w:eastAsia="Times New Roman" w:hAnsi="Arial" w:cs="Arial"/>
          <w:b/>
          <w:bCs/>
          <w:sz w:val="28"/>
          <w:szCs w:val="28"/>
          <w:lang w:eastAsia="fr-FR"/>
        </w:rPr>
      </w:pPr>
      <w:r w:rsidRPr="00201068">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A5A31DD" w14:textId="77777777" w:rsidR="00201068" w:rsidRPr="00201068" w:rsidRDefault="00201068" w:rsidP="00624E3F">
      <w:pPr>
        <w:spacing w:before="120" w:after="0" w:line="360" w:lineRule="auto"/>
        <w:rPr>
          <w:rFonts w:ascii="Arial" w:eastAsia="Times New Roman" w:hAnsi="Arial" w:cs="Arial"/>
          <w:b/>
          <w:bCs/>
          <w:sz w:val="28"/>
          <w:szCs w:val="28"/>
          <w:lang w:eastAsia="fr-FR"/>
        </w:rPr>
      </w:pPr>
      <w:r w:rsidRPr="00201068">
        <w:rPr>
          <w:rFonts w:ascii="Arial" w:eastAsia="Times New Roman" w:hAnsi="Arial" w:cs="Arial"/>
          <w:b/>
          <w:bCs/>
          <w:sz w:val="28"/>
          <w:szCs w:val="28"/>
          <w:lang w:eastAsia="fr-FR"/>
        </w:rPr>
        <w:t>For any corrections, remarks, or suggestions, kindly contact us on translate@lloc.gov.bh</w:t>
      </w:r>
    </w:p>
    <w:p w14:paraId="4137A654" w14:textId="77777777" w:rsidR="00201068" w:rsidRPr="00201068" w:rsidRDefault="00201068" w:rsidP="00624E3F">
      <w:pPr>
        <w:spacing w:before="120" w:after="0" w:line="360" w:lineRule="auto"/>
        <w:rPr>
          <w:rFonts w:ascii="Arial" w:eastAsia="Times New Roman" w:hAnsi="Arial" w:cs="Arial"/>
          <w:b/>
          <w:bCs/>
          <w:sz w:val="28"/>
          <w:szCs w:val="28"/>
          <w:lang w:eastAsia="fr-FR"/>
        </w:rPr>
      </w:pPr>
      <w:r w:rsidRPr="00201068">
        <w:rPr>
          <w:rFonts w:ascii="Arial" w:eastAsia="Times New Roman" w:hAnsi="Arial" w:cs="Arial"/>
          <w:b/>
          <w:bCs/>
          <w:sz w:val="28"/>
          <w:szCs w:val="28"/>
          <w:lang w:eastAsia="fr-FR"/>
        </w:rPr>
        <w:t>Published on the website on May 2024</w:t>
      </w:r>
      <w:r w:rsidRPr="00201068">
        <w:rPr>
          <w:rFonts w:ascii="Arial" w:eastAsia="Times New Roman" w:hAnsi="Arial" w:cs="Arial"/>
          <w:b/>
          <w:bCs/>
          <w:sz w:val="28"/>
          <w:szCs w:val="28"/>
          <w:lang w:eastAsia="fr-FR"/>
        </w:rPr>
        <w:br w:type="page"/>
      </w:r>
    </w:p>
    <w:p w14:paraId="0EF4C374"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lastRenderedPageBreak/>
        <w:t>Decree No. (7) of 1995 ratifying the Cultural Convention between the Government of the State of Bahrain and the Government of the Republic of Turkey</w:t>
      </w:r>
    </w:p>
    <w:p w14:paraId="5EFAF1EF"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br w:type="page"/>
      </w:r>
    </w:p>
    <w:p w14:paraId="5C2051E3"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We, Isa bin Salman Al Khalifa, Emir of the State of Bahrain. </w:t>
      </w:r>
    </w:p>
    <w:p w14:paraId="5EF2592A"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Having reviewed the Constitution; </w:t>
      </w:r>
    </w:p>
    <w:p w14:paraId="12538916"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And Cultural Convention between the Government of the State of Bahrain and the Government of the Republic of Turkey, signed in the city of Manama on 28 January 1993; </w:t>
      </w:r>
    </w:p>
    <w:p w14:paraId="29BEC8E4"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And upon the submission of the Prime Minister, </w:t>
      </w:r>
    </w:p>
    <w:p w14:paraId="172D99A3"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And after the approval of the Council of Ministers, </w:t>
      </w:r>
    </w:p>
    <w:p w14:paraId="4B6BCEA4"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Hereby Decree the following:</w:t>
      </w:r>
    </w:p>
    <w:p w14:paraId="01E34DE9"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One</w:t>
      </w:r>
    </w:p>
    <w:p w14:paraId="08309F71"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Cultural Convention between the Government of the State of Bahrain and the Government of the Republic of Turkey, attached to this Decree, signed in the city of Manama on 28 January 1993, was ratified in accordance with Article Ten thereof. </w:t>
      </w:r>
    </w:p>
    <w:p w14:paraId="4C616395"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Two</w:t>
      </w:r>
    </w:p>
    <w:p w14:paraId="4F361812"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Prime Minister shall implement this Decree, and it shall come into force from the date of its issuance and shall be published in the Official Gazette. </w:t>
      </w:r>
    </w:p>
    <w:p w14:paraId="694649FF"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b/>
          <w:bCs/>
          <w:sz w:val="28"/>
          <w:szCs w:val="28"/>
          <w:lang w:eastAsia="fr-FR"/>
        </w:rPr>
        <w:t>Emir of the State of Bahrain </w:t>
      </w:r>
    </w:p>
    <w:p w14:paraId="4891A536"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b/>
          <w:bCs/>
          <w:sz w:val="28"/>
          <w:szCs w:val="28"/>
          <w:lang w:eastAsia="fr-FR"/>
        </w:rPr>
        <w:t>Isa bin Salman Al Khalifa </w:t>
      </w:r>
    </w:p>
    <w:p w14:paraId="167BDFD6"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Issued at Riffa Palace </w:t>
      </w:r>
    </w:p>
    <w:p w14:paraId="2946D8B4"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On: 16 Dhu al-Qi'dah 1415 A.H. </w:t>
      </w:r>
    </w:p>
    <w:p w14:paraId="1DF44191"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Corresponding to: 16 April 1995 </w:t>
      </w:r>
    </w:p>
    <w:p w14:paraId="3E8418CA"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Cultural Convention between the Government of the State of Bahrain and the Government of the Republic of Turkey</w:t>
      </w:r>
    </w:p>
    <w:p w14:paraId="6CB7D14D"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Government of the State of Bahrain and the Government of the Republic of Turkey, desiring to strengthen and develop the foundations of mutual cooperation between their two countries, affirming the meanings of brotherhood and friendship between their peoples, and seeking to enhance cultural, scientific, and educational relations between them, have decided to conclude this convention between them, to regulate various forms of cooperation in the fields of culture, science, education, and the arts. </w:t>
      </w:r>
    </w:p>
    <w:p w14:paraId="62E56198"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One</w:t>
      </w:r>
    </w:p>
    <w:p w14:paraId="14DDF058"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contracting parties shall work to promote cooperation between their cultural, scientific, educational, and artistic institutions through the exchange of information, expertise, and research. </w:t>
      </w:r>
    </w:p>
    <w:p w14:paraId="215A1791"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Two</w:t>
      </w:r>
    </w:p>
    <w:p w14:paraId="1846E6FA"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contracting parties shall work to exchange visits between university professors, experts, and professionals in the field of scientific research. </w:t>
      </w:r>
    </w:p>
    <w:p w14:paraId="7317BB5E"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Three</w:t>
      </w:r>
    </w:p>
    <w:p w14:paraId="707BE7FA"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contracting parties shall work to exchange scholarships for students and graduates to pursue their higher education, as well as involve researchers and graduates in training courses organized by the other country. </w:t>
      </w:r>
    </w:p>
    <w:p w14:paraId="5C7F5223"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Four</w:t>
      </w:r>
    </w:p>
    <w:p w14:paraId="1B7EED59"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contracting parties shall request their experts to prepare a study on the necessary conditions for recognizing university degrees and academic certificates granted by the other country within the limits of its national legislation. </w:t>
      </w:r>
    </w:p>
    <w:p w14:paraId="6F6420A2"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Five</w:t>
      </w:r>
    </w:p>
    <w:p w14:paraId="6F44D49E"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To achieve further cooperation between the two countries and introduce the culture and civilization of each to the other's people, the contracting parties undertake the following: </w:t>
      </w:r>
    </w:p>
    <w:p w14:paraId="3E9DB5A6"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 Strengthening ties and facilitating cooperation between cultural, literary, and artistic institutions. </w:t>
      </w:r>
    </w:p>
    <w:p w14:paraId="434E6BB5"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 Exchanging books, publications, journals, historical document indexes, manuscript images, and archaeological inscriptions. </w:t>
      </w:r>
    </w:p>
    <w:p w14:paraId="3286E6C1"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 Organizing and hosting scientific, educational, and artistic exhibitions. </w:t>
      </w:r>
    </w:p>
    <w:p w14:paraId="7C4F5872"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 Exchanging radio and television programmes, tapes, and cultural and artistic films. </w:t>
      </w:r>
    </w:p>
    <w:p w14:paraId="0B01018E"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 Encouraging visits and exchanges between literary figures, journalists, and intellectuals. </w:t>
      </w:r>
    </w:p>
    <w:p w14:paraId="40A56D0B"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 Promoting visits and exchanges between artists, artistic groups, and theatres in both countries. </w:t>
      </w:r>
    </w:p>
    <w:p w14:paraId="25550B46"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Six</w:t>
      </w:r>
    </w:p>
    <w:p w14:paraId="4A9E52D2"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contracting parties shall work to strengthen the bonds of friendship between their peoples by: </w:t>
      </w:r>
    </w:p>
    <w:p w14:paraId="36DC2CB0"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 Exchanging visits between sports and scouting teams from both countries to organize matches and share experiences in this field. </w:t>
      </w:r>
    </w:p>
    <w:p w14:paraId="37AB3314"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 Promoting tourism between the two countries. </w:t>
      </w:r>
    </w:p>
    <w:p w14:paraId="3DD3699F"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Seven</w:t>
      </w:r>
    </w:p>
    <w:p w14:paraId="7287CD0E"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Both contracting parties shall provide all possible facilities and necessary means to achieve the objectives of this Convention within the framework of the applicable regulations and laws. </w:t>
      </w:r>
    </w:p>
    <w:p w14:paraId="5ED27930"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Eight</w:t>
      </w:r>
    </w:p>
    <w:p w14:paraId="4B7FFDE1"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In order to implement this Convention, a joint committee shall be established, consisting of representatives from both contracting parties. It shall meet alternately in both Turkey and Bahrain to develop exchange programmes for the coming years and determine the financial matters related to the implementation of these programmes. </w:t>
      </w:r>
    </w:p>
    <w:p w14:paraId="083B799B"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Nine</w:t>
      </w:r>
    </w:p>
    <w:p w14:paraId="6CB4F31E"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The provisions of this Convention shall not exempt any individual from complying with the laws and regulations applicable in both countries regarding the entry, stay, and departure of foreigners. </w:t>
      </w:r>
    </w:p>
    <w:p w14:paraId="74DFAE7F" w14:textId="77777777" w:rsidR="00201068" w:rsidRPr="00201068" w:rsidRDefault="00201068" w:rsidP="00624E3F">
      <w:pPr>
        <w:spacing w:before="120" w:after="0" w:line="360" w:lineRule="auto"/>
        <w:jc w:val="center"/>
        <w:rPr>
          <w:rFonts w:ascii="Arial" w:eastAsia="Times New Roman" w:hAnsi="Arial" w:cs="Arial"/>
          <w:sz w:val="28"/>
          <w:szCs w:val="28"/>
          <w:lang w:eastAsia="fr-FR"/>
        </w:rPr>
      </w:pPr>
      <w:r w:rsidRPr="00201068">
        <w:rPr>
          <w:rFonts w:ascii="Arial" w:eastAsia="Times New Roman" w:hAnsi="Arial" w:cs="Arial"/>
          <w:b/>
          <w:bCs/>
          <w:sz w:val="28"/>
          <w:szCs w:val="28"/>
          <w:lang w:eastAsia="fr-FR"/>
        </w:rPr>
        <w:t>Article Ten</w:t>
      </w:r>
    </w:p>
    <w:p w14:paraId="44362DDB"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This Convention shall enter into force from the date of notification by each of the contracting parties to the other party of the completion of the legal requirements for the entry into force of this Convention. It shall remain in effect for a period of five years and shall automatically renew for a similar period unless one of the contracting parties notifies the other party in writing of its desire to terminate it six months before the expiration date of any of these periods. </w:t>
      </w:r>
    </w:p>
    <w:p w14:paraId="6D89FDCD"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sz w:val="28"/>
          <w:szCs w:val="28"/>
          <w:lang w:eastAsia="fr-FR"/>
        </w:rPr>
        <w:t>As evidence thereof, this Convention was signed in Bahrain on 28 January 1993, and it was prepared in three original copies in the Arabic, Turkish, and English languages, each of which has the same validity. In case of any discrepancies in interpretation, the English text shall prevail. </w:t>
      </w:r>
    </w:p>
    <w:p w14:paraId="61DA9A1B" w14:textId="77777777" w:rsidR="00201068" w:rsidRPr="00201068" w:rsidRDefault="00201068" w:rsidP="00624E3F">
      <w:pPr>
        <w:spacing w:before="120" w:after="0" w:line="360" w:lineRule="auto"/>
        <w:rPr>
          <w:rFonts w:ascii="Arial" w:eastAsia="Times New Roman" w:hAnsi="Arial" w:cs="Arial"/>
          <w:b/>
          <w:bCs/>
          <w:sz w:val="28"/>
          <w:szCs w:val="28"/>
          <w:lang w:eastAsia="fr-FR"/>
        </w:rPr>
      </w:pPr>
      <w:r w:rsidRPr="00201068">
        <w:rPr>
          <w:rFonts w:ascii="Arial" w:eastAsia="Times New Roman" w:hAnsi="Arial" w:cs="Arial"/>
          <w:b/>
          <w:bCs/>
          <w:sz w:val="28"/>
          <w:szCs w:val="28"/>
          <w:lang w:eastAsia="fr-FR"/>
        </w:rPr>
        <w:t>Prime Minister                        </w:t>
      </w:r>
    </w:p>
    <w:p w14:paraId="1A56E8BC"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b/>
          <w:bCs/>
          <w:sz w:val="28"/>
          <w:szCs w:val="28"/>
          <w:lang w:eastAsia="fr-FR"/>
        </w:rPr>
        <w:t>Prime Minister </w:t>
      </w:r>
    </w:p>
    <w:p w14:paraId="132B2F7E" w14:textId="77777777" w:rsidR="00201068" w:rsidRPr="00201068" w:rsidRDefault="00201068" w:rsidP="00624E3F">
      <w:pPr>
        <w:spacing w:before="120" w:after="0" w:line="360" w:lineRule="auto"/>
        <w:rPr>
          <w:rFonts w:ascii="Arial" w:eastAsia="Times New Roman" w:hAnsi="Arial" w:cs="Arial"/>
          <w:b/>
          <w:bCs/>
          <w:sz w:val="28"/>
          <w:szCs w:val="28"/>
          <w:lang w:eastAsia="fr-FR"/>
        </w:rPr>
      </w:pPr>
      <w:r w:rsidRPr="00201068">
        <w:rPr>
          <w:rFonts w:ascii="Arial" w:eastAsia="Times New Roman" w:hAnsi="Arial" w:cs="Arial"/>
          <w:b/>
          <w:bCs/>
          <w:sz w:val="28"/>
          <w:szCs w:val="28"/>
          <w:lang w:eastAsia="fr-FR"/>
        </w:rPr>
        <w:t xml:space="preserve">State of Bahrain </w:t>
      </w:r>
    </w:p>
    <w:p w14:paraId="7AC9BB47" w14:textId="77777777" w:rsidR="00201068" w:rsidRPr="00201068" w:rsidRDefault="00201068" w:rsidP="00624E3F">
      <w:pPr>
        <w:spacing w:before="120" w:after="0" w:line="360" w:lineRule="auto"/>
        <w:rPr>
          <w:rFonts w:ascii="Arial" w:eastAsia="Times New Roman" w:hAnsi="Arial" w:cs="Arial"/>
          <w:sz w:val="28"/>
          <w:szCs w:val="28"/>
          <w:lang w:eastAsia="fr-FR"/>
        </w:rPr>
      </w:pPr>
      <w:r w:rsidRPr="00201068">
        <w:rPr>
          <w:rFonts w:ascii="Arial" w:eastAsia="Times New Roman" w:hAnsi="Arial" w:cs="Arial"/>
          <w:b/>
          <w:bCs/>
          <w:sz w:val="28"/>
          <w:szCs w:val="28"/>
          <w:lang w:eastAsia="fr-FR"/>
        </w:rPr>
        <w:t>Republic of Turkey </w:t>
      </w:r>
    </w:p>
    <w:p w14:paraId="28229013" w14:textId="77777777" w:rsidR="00201068" w:rsidRPr="00201068" w:rsidRDefault="00201068" w:rsidP="00624E3F">
      <w:pPr>
        <w:spacing w:before="120" w:after="0" w:line="360" w:lineRule="auto"/>
        <w:rPr>
          <w:rFonts w:ascii="Arial" w:eastAsia="Times New Roman" w:hAnsi="Arial" w:cs="Arial"/>
          <w:b/>
          <w:bCs/>
          <w:sz w:val="28"/>
          <w:szCs w:val="28"/>
          <w:lang w:val="en-US" w:eastAsia="fr-FR"/>
        </w:rPr>
      </w:pPr>
    </w:p>
    <w:p w14:paraId="50FDF75A" w14:textId="77777777" w:rsidR="00201068" w:rsidRPr="00201068" w:rsidRDefault="00201068" w:rsidP="00624E3F">
      <w:pPr>
        <w:spacing w:before="120" w:after="0" w:line="360" w:lineRule="auto"/>
        <w:rPr>
          <w:rFonts w:ascii="Arial" w:hAnsi="Arial" w:cs="Arial"/>
          <w:sz w:val="28"/>
          <w:szCs w:val="28"/>
        </w:rPr>
      </w:pPr>
    </w:p>
    <w:sectPr w:rsidR="00201068" w:rsidRPr="00201068" w:rsidSect="004E3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068"/>
    <w:rsid w:val="000129C5"/>
    <w:rsid w:val="00201068"/>
    <w:rsid w:val="004E36EC"/>
    <w:rsid w:val="00624E3F"/>
    <w:rsid w:val="00815AD9"/>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6738E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