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A165" w14:textId="064C68C4" w:rsidR="00065AE8" w:rsidRPr="000A76C0" w:rsidRDefault="00065AE8" w:rsidP="000A76C0">
      <w:pPr>
        <w:bidi/>
        <w:spacing w:after="0" w:line="240" w:lineRule="auto"/>
        <w:jc w:val="center"/>
        <w:rPr>
          <w:rFonts w:ascii="Simplified Arabic" w:hAnsi="Simplified Arabic" w:cs="Simplified Arabic"/>
          <w:color w:val="000000" w:themeColor="text1"/>
        </w:rPr>
      </w:pPr>
      <w:r w:rsidRPr="000A76C0">
        <w:rPr>
          <w:rFonts w:ascii="Simplified Arabic" w:hAnsi="Simplified Arabic" w:cs="Simplified Arabic"/>
          <w:b/>
          <w:bCs/>
          <w:color w:val="000000" w:themeColor="text1"/>
          <w:sz w:val="28"/>
          <w:szCs w:val="28"/>
          <w:rtl/>
          <w:lang w:bidi="ar-BH"/>
        </w:rPr>
        <w:t>مرسوم بقانون رقم (25) لسنة 2015</w:t>
      </w:r>
    </w:p>
    <w:p w14:paraId="305369F2" w14:textId="77777777" w:rsidR="00065AE8" w:rsidRPr="000A76C0" w:rsidRDefault="00065AE8" w:rsidP="00190023">
      <w:pPr>
        <w:bidi/>
        <w:spacing w:after="0" w:line="240" w:lineRule="auto"/>
        <w:jc w:val="center"/>
        <w:rPr>
          <w:rFonts w:ascii="Simplified Arabic" w:hAnsi="Simplified Arabic" w:cs="Simplified Arabic"/>
          <w:color w:val="000000" w:themeColor="text1"/>
        </w:rPr>
      </w:pPr>
      <w:r w:rsidRPr="000A76C0">
        <w:rPr>
          <w:rFonts w:ascii="Simplified Arabic" w:hAnsi="Simplified Arabic" w:cs="Simplified Arabic"/>
          <w:b/>
          <w:bCs/>
          <w:color w:val="000000" w:themeColor="text1"/>
          <w:sz w:val="28"/>
          <w:szCs w:val="28"/>
          <w:rtl/>
          <w:lang w:bidi="ar-BH"/>
        </w:rPr>
        <w:t>بشأن تحصيل كلفة إنشاء وتطوير البنية التحتية في مناطق التعمير</w:t>
      </w:r>
    </w:p>
    <w:p w14:paraId="0B1442FB"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نحن حمد بن عيسى آل خليفة              ملك مملكة البحرين.</w:t>
      </w:r>
    </w:p>
    <w:p w14:paraId="235A5766"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بعد الاطلاع على الدستور، وعلى الأخص المادة (38) منه،</w:t>
      </w:r>
    </w:p>
    <w:p w14:paraId="5BD7B114"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وعلى قانون المرافعات المدنية والتجارية الصادر بالمرسوم بقانون رقم (12) لسنة 1971 وتعديلاته،</w:t>
      </w:r>
    </w:p>
    <w:p w14:paraId="7CB141F9"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وعلى قانون تنظيم المباني الصادر بالمرسوم بقانون رقم (13) لسنة 1977، وتعديلاته،</w:t>
      </w:r>
    </w:p>
    <w:p w14:paraId="373CFB5F"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وعلى قانون التخطيط العمراني الصادر بالمرسوم بقانون رقم (2) لسنة 1994، وتعديلاته،</w:t>
      </w:r>
    </w:p>
    <w:p w14:paraId="3984468D"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وبناءً على عرض رئيس مجلس الوزراء،</w:t>
      </w:r>
    </w:p>
    <w:p w14:paraId="22935D4D"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وبعد موافقة مجلس الوزراء،</w:t>
      </w:r>
    </w:p>
    <w:p w14:paraId="0A6F10CB"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رسمنا بالقانون الآتي:</w:t>
      </w:r>
    </w:p>
    <w:p w14:paraId="61E3E99A"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الأولى</w:t>
      </w:r>
    </w:p>
    <w:p w14:paraId="7F85991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في تطبيق أحكام هذا القانون، يكون للكلمات والعبارات التالية المعاني المبينة قرين كل منها، ما لم يقتضِ سياقُ النص خلافَ ذلك:</w:t>
      </w:r>
    </w:p>
    <w:p w14:paraId="434E6FD4"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الوزير</w:t>
      </w:r>
      <w:r w:rsidRPr="000A76C0">
        <w:rPr>
          <w:rFonts w:ascii="Simplified Arabic" w:hAnsi="Simplified Arabic" w:cs="Simplified Arabic"/>
          <w:color w:val="000000" w:themeColor="text1"/>
          <w:sz w:val="28"/>
          <w:szCs w:val="28"/>
          <w:rtl/>
          <w:lang w:bidi="ar-BH"/>
        </w:rPr>
        <w:t>: الوزير الذي يصدر بتسميته مرسوم.</w:t>
      </w:r>
    </w:p>
    <w:p w14:paraId="3324F0A8"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الاشتراطات التنظيمية للتعمير</w:t>
      </w:r>
      <w:r w:rsidRPr="000A76C0">
        <w:rPr>
          <w:rFonts w:ascii="Simplified Arabic" w:hAnsi="Simplified Arabic" w:cs="Simplified Arabic"/>
          <w:color w:val="000000" w:themeColor="text1"/>
          <w:sz w:val="28"/>
          <w:szCs w:val="28"/>
          <w:rtl/>
          <w:lang w:bidi="ar-BH"/>
        </w:rPr>
        <w:t>: الاشتراطات التنظيمية للتعمير بمختلف المناطق بمملكة البحرين وفقاً لأحكام القرارات المعمول بها في هذا الشأن.</w:t>
      </w:r>
    </w:p>
    <w:p w14:paraId="2B31324D"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مناطق التعمير</w:t>
      </w:r>
      <w:r w:rsidRPr="000A76C0">
        <w:rPr>
          <w:rFonts w:ascii="Simplified Arabic" w:hAnsi="Simplified Arabic" w:cs="Simplified Arabic"/>
          <w:color w:val="000000" w:themeColor="text1"/>
          <w:sz w:val="28"/>
          <w:szCs w:val="28"/>
          <w:rtl/>
          <w:lang w:bidi="ar-BH"/>
        </w:rPr>
        <w:t>: المناطق التي تطبق عليها الاشتراطات التنظيمية للتعمير.</w:t>
      </w:r>
    </w:p>
    <w:p w14:paraId="1963829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البنية التحتية</w:t>
      </w:r>
      <w:r w:rsidRPr="000A76C0">
        <w:rPr>
          <w:rFonts w:ascii="Simplified Arabic" w:hAnsi="Simplified Arabic" w:cs="Simplified Arabic"/>
          <w:color w:val="000000" w:themeColor="text1"/>
          <w:sz w:val="28"/>
          <w:szCs w:val="28"/>
          <w:rtl/>
          <w:lang w:bidi="ar-BH"/>
        </w:rPr>
        <w:t>: الشبكات الرئيسية والفرعية للطرق والكهرباء والماء والصرف الصحي والساحات والمواقف العامة وتجميل وتشجير الشوارع والمسطحات الخضراء، وغيرها من المرافق التي تحقق ذات الغرض ويصدر بتحديدها قرار من مجلس الوزراء بناءً على توصية اللجنة الوزارية.</w:t>
      </w:r>
    </w:p>
    <w:p w14:paraId="199509A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اللجنة الوزارية</w:t>
      </w:r>
      <w:r w:rsidRPr="000A76C0">
        <w:rPr>
          <w:rFonts w:ascii="Simplified Arabic" w:hAnsi="Simplified Arabic" w:cs="Simplified Arabic"/>
          <w:color w:val="000000" w:themeColor="text1"/>
          <w:sz w:val="28"/>
          <w:szCs w:val="28"/>
          <w:rtl/>
          <w:lang w:bidi="ar-BH"/>
        </w:rPr>
        <w:t>: اللجنة الوزارية المعنية بالبنية التحتية.</w:t>
      </w:r>
    </w:p>
    <w:p w14:paraId="059F6997"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اللجنة</w:t>
      </w:r>
      <w:r w:rsidRPr="000A76C0">
        <w:rPr>
          <w:rFonts w:ascii="Simplified Arabic" w:hAnsi="Simplified Arabic" w:cs="Simplified Arabic"/>
          <w:color w:val="000000" w:themeColor="text1"/>
          <w:sz w:val="28"/>
          <w:szCs w:val="28"/>
          <w:rtl/>
          <w:lang w:bidi="ar-BH"/>
        </w:rPr>
        <w:t>: لجنة تقدير كلفة البنية التحتية المُنشأة طبقاً لأحكام المادة السادسة من هذا القانون.</w:t>
      </w:r>
    </w:p>
    <w:p w14:paraId="4FA2823F"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الثانية</w:t>
      </w:r>
    </w:p>
    <w:p w14:paraId="286B942A" w14:textId="312016A0" w:rsidR="00065AE8" w:rsidRPr="000A76C0" w:rsidRDefault="00065AE8" w:rsidP="000A76C0">
      <w:pPr>
        <w:bidi/>
        <w:spacing w:after="0" w:line="240" w:lineRule="auto"/>
        <w:jc w:val="lowKashida"/>
        <w:rPr>
          <w:rFonts w:ascii="Simplified Arabic" w:hAnsi="Simplified Arabic" w:cs="Simplified Arabic"/>
          <w:color w:val="000000" w:themeColor="text1"/>
          <w:sz w:val="28"/>
          <w:szCs w:val="28"/>
          <w:rtl/>
          <w:lang w:bidi="ar-BH"/>
        </w:rPr>
      </w:pPr>
      <w:r w:rsidRPr="000A76C0">
        <w:rPr>
          <w:rFonts w:ascii="Simplified Arabic" w:hAnsi="Simplified Arabic" w:cs="Simplified Arabic"/>
          <w:color w:val="000000" w:themeColor="text1"/>
          <w:sz w:val="28"/>
          <w:szCs w:val="28"/>
          <w:rtl/>
          <w:lang w:bidi="ar-BH"/>
        </w:rPr>
        <w:t xml:space="preserve">يُعمل بأحكام هذا القانون في شأن تحصيل كلفة إنشاء وتطوير البنية التحتية في مناطق التعمير، وتُستثنى من تطبيقه الأراضي والمساكن المملوكة للبحرينيين والمخصصة لسكناهم في مناطق التعمير الجديدة والقائمة، والمساكن المملوكة للبحرينيين والمخصصة لسكن أقاربهم من الدرجة الأولى في مناطق التعمير القائمة التي سيتم تطوير وتحسين مرافق البنية التحتية فيها، بعد تقديم المستندات </w:t>
      </w:r>
      <w:r w:rsidRPr="000A76C0">
        <w:rPr>
          <w:rFonts w:ascii="Simplified Arabic" w:hAnsi="Simplified Arabic" w:cs="Simplified Arabic"/>
          <w:color w:val="000000" w:themeColor="text1"/>
          <w:sz w:val="28"/>
          <w:szCs w:val="28"/>
          <w:rtl/>
          <w:lang w:bidi="ar-BH"/>
        </w:rPr>
        <w:lastRenderedPageBreak/>
        <w:t>الثبوتية، دون أن يخل ذلك بالتزامهم بأداء رسوم خدمات توصيل البنية التحتية وفقاً للقوانين المعمول بها في المملكة.</w:t>
      </w:r>
    </w:p>
    <w:p w14:paraId="3710C800" w14:textId="2636F9F5" w:rsidR="00065AE8" w:rsidRPr="000A76C0" w:rsidRDefault="00065AE8" w:rsidP="000A76C0">
      <w:pPr>
        <w:bidi/>
        <w:spacing w:after="0" w:line="240" w:lineRule="auto"/>
        <w:jc w:val="lowKashida"/>
        <w:rPr>
          <w:rFonts w:ascii="Simplified Arabic" w:hAnsi="Simplified Arabic" w:cs="Simplified Arabic"/>
          <w:color w:val="000000" w:themeColor="text1"/>
          <w:sz w:val="20"/>
          <w:szCs w:val="20"/>
          <w:rtl/>
        </w:rPr>
      </w:pPr>
      <w:r w:rsidRPr="000A76C0">
        <w:rPr>
          <w:rFonts w:ascii="Simplified Arabic" w:eastAsia="Simplified Arabic" w:hAnsi="Simplified Arabic" w:cs="Simplified Arabic"/>
          <w:color w:val="000000" w:themeColor="text1"/>
          <w:sz w:val="28"/>
          <w:szCs w:val="28"/>
          <w:rtl/>
        </w:rPr>
        <w:t>كما يستثنى من تطبيق أحكام هذا القانون أي مشروع يقوم فيه مالك العقار بحريني الجنسية، بهدم وإعادة البناء في عقاره المخصص للأغراض السكنية له ولأقربائه حتى الدرجة الأولى.</w:t>
      </w:r>
      <w:r w:rsidRPr="000A76C0">
        <w:rPr>
          <w:rStyle w:val="FootnoteReference"/>
          <w:rFonts w:ascii="Simplified Arabic" w:eastAsia="Simplified Arabic" w:hAnsi="Simplified Arabic" w:cs="Simplified Arabic"/>
          <w:color w:val="000000" w:themeColor="text1"/>
          <w:sz w:val="28"/>
          <w:szCs w:val="28"/>
          <w:rtl/>
        </w:rPr>
        <w:footnoteReference w:id="1"/>
      </w:r>
    </w:p>
    <w:p w14:paraId="421FCA9A"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الثالثة</w:t>
      </w:r>
    </w:p>
    <w:p w14:paraId="58AC4A6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تُحتسب كلفة البنية التحتية في مناطق التعمير مقابل الخدمات الآتية:</w:t>
      </w:r>
    </w:p>
    <w:p w14:paraId="64AEAD00" w14:textId="1C786444" w:rsidR="00065AE8" w:rsidRPr="000A76C0" w:rsidRDefault="00065AE8" w:rsidP="000A76C0">
      <w:pPr>
        <w:pStyle w:val="ListParagraph"/>
        <w:numPr>
          <w:ilvl w:val="0"/>
          <w:numId w:val="1"/>
        </w:num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إنشاء مرافق البنية التحتية في مناطق التعمير الجديدة التي لا توجد فيها مرافق أو لم يكتمل إنشاؤها.</w:t>
      </w:r>
    </w:p>
    <w:p w14:paraId="1C2FCE91" w14:textId="2C719546" w:rsidR="00065AE8" w:rsidRPr="000A76C0" w:rsidRDefault="00065AE8" w:rsidP="000A76C0">
      <w:pPr>
        <w:pStyle w:val="ListParagraph"/>
        <w:numPr>
          <w:ilvl w:val="0"/>
          <w:numId w:val="1"/>
        </w:num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تطوير وتحسين مرافق البنية التحتية في مناطق التعمير القائمة.</w:t>
      </w:r>
    </w:p>
    <w:p w14:paraId="711443ED" w14:textId="6E836DBE" w:rsidR="00065AE8" w:rsidRPr="000A76C0" w:rsidRDefault="00065AE8" w:rsidP="000A76C0">
      <w:pPr>
        <w:pStyle w:val="ListParagraph"/>
        <w:numPr>
          <w:ilvl w:val="0"/>
          <w:numId w:val="1"/>
        </w:num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مرافق البنية التحتية في مناطق التعمير القائمة التي توجد فيها هذه المرافق.</w:t>
      </w:r>
    </w:p>
    <w:p w14:paraId="317EBE3B"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الرابعة</w:t>
      </w:r>
    </w:p>
    <w:p w14:paraId="66549CE5"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تتولى اللجنة الوزارية اقتراح ودراسة إنشاء مرافق البنية التحتية في مناطق التعمير الجديدة وتطوير وتحسين مرافق البنية التحتية في المناطق القائمة، وترفع توصيتها بشأنها لمجلس الوزراء لاعتمادها واتخاذ قرار بشأنها.</w:t>
      </w:r>
    </w:p>
    <w:p w14:paraId="5713F7A0"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الخامسة</w:t>
      </w:r>
    </w:p>
    <w:p w14:paraId="340F875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تُحصل كلفة البنية التحتية كمقابل للخدمات المنصوص عليها في البندين (1) و(2) من المادة الثالثة من هذا القانون من أجل توفير كافة مرافق البنية التحتية، ويكون إخطار الملاك وتاريخ استحقاق الكلفة وطريقة السداد طبقاً للآلية التي تعتمدها اللجنة الوزارية.</w:t>
      </w:r>
    </w:p>
    <w:p w14:paraId="52C73898"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وتُحصل كلفة البنية التحتية كمقابل للخدمة المنصوص عليها في البند (3) من المادة الثالثة من هذا القانون عند تقديم طلب الحصول على ترخيص البناء طبقاً لتصنيف منطقة التعمير أو الغرض من البناء والآلية التي تعتمدها اللجنة الوزارية.</w:t>
      </w:r>
    </w:p>
    <w:p w14:paraId="3FD2F6F6"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السادسة</w:t>
      </w:r>
    </w:p>
    <w:p w14:paraId="1B5909BF"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تُنشأ لجنة تقدير كلفة البنية التحتية، وتُشكل اللجنة من رئيس وعدد من المختصين في الجهات الحكومية أو غيرها بقرار من رئيس مجلس الوزراء.</w:t>
      </w:r>
    </w:p>
    <w:p w14:paraId="41D797B6"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وتختص اللجنة بدراسة وتقدير كلفة البنية التحتية وتقديمها إلى الوزير لعرضها على اللجنة الوزارية للموافقة عليها.</w:t>
      </w:r>
    </w:p>
    <w:p w14:paraId="06E40B38"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ويصدر قرار من الوزير بعد موافقة اللجنة الوزارية بتحديد فئات كلفة البنية التحتية على أساس نسب البناء بالمتر المربع وطبقاً للاشتراطات التنظيمية للتعمير في كل منطقة من مناطق التعمير.</w:t>
      </w:r>
    </w:p>
    <w:p w14:paraId="758F1E9C"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السابعة</w:t>
      </w:r>
    </w:p>
    <w:p w14:paraId="0E963A84"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يصدر الوزير قرارات بتحديد قيمة كلفة البنية التحتية المستحقة على الملاك، ويتم إخطارهم بها بموجب خطاب مسجل بعلم الوصول.</w:t>
      </w:r>
    </w:p>
    <w:p w14:paraId="344F8689"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وللملاك الاعتراض على قيمة الكلفة المستحقة عليهم لدى الوزير خلال ثلاثين يوماً من تاريخ إخطارهم بها، ويبت الوزير في الاعتراض خلال ثلاثين يوماً من تاريخ تقديمه، ويعتبر فوات الميعاد دون البت في الاعتراض بمثابة رفض له.</w:t>
      </w:r>
    </w:p>
    <w:p w14:paraId="69E91287"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وتصبح قيمة كلفة البنية التحتية الواردة بالقرارات المشار إليها في الفقرة الأولى من هذه المادة نهائية وواجبة الأداء بمضي الميعاد دون الاعتراض عليها أو رفض الاعتراض صراحة أو ضمناً.</w:t>
      </w:r>
    </w:p>
    <w:p w14:paraId="2D78C04D"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وتعتبر قرارات الوزير بتحديد قيمة كلفة البنية التحتية المستحقة على الملاك بمثابة السند التنفيذي الذي يجوز للوزير التنفيذ بموجبه على الملاك بأداء كلفة البنية التحتية في حالة امتناعهم عن أدائها.</w:t>
      </w:r>
    </w:p>
    <w:p w14:paraId="0C761C19"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وللملاك حق الطعن على قرارات تحديد قيمة كلفة البنية التحتية أمام المحكمة المختصة خلال خمسة وأربعين يوماً من تاريخ صيرورة قيمة الكلفة نهائية.</w:t>
      </w:r>
    </w:p>
    <w:p w14:paraId="2A20A18E"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الثامنة</w:t>
      </w:r>
    </w:p>
    <w:p w14:paraId="40E2A07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يجوز للوزير في حالة الامتناع عن أداء كلفة البنية التحتية المستحقة اتخاذ ما يراه مناسباً بشأن العقار من الإجراءات التالية:</w:t>
      </w:r>
    </w:p>
    <w:p w14:paraId="513229C7" w14:textId="77777777" w:rsidR="00065AE8" w:rsidRPr="000A76C0" w:rsidRDefault="00065AE8" w:rsidP="000A76C0">
      <w:pPr>
        <w:pStyle w:val="ListParagraph"/>
        <w:bidi/>
        <w:spacing w:after="0" w:line="240" w:lineRule="auto"/>
        <w:ind w:hanging="360"/>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rtl/>
        </w:rPr>
        <w:t>1)</w:t>
      </w:r>
      <w:r w:rsidRPr="000A76C0">
        <w:rPr>
          <w:rFonts w:ascii="Simplified Arabic" w:hAnsi="Simplified Arabic" w:cs="Simplified Arabic"/>
          <w:b/>
          <w:bCs/>
          <w:color w:val="000000" w:themeColor="text1"/>
          <w:sz w:val="14"/>
          <w:szCs w:val="14"/>
          <w:rtl/>
        </w:rPr>
        <w:t xml:space="preserve">    </w:t>
      </w:r>
      <w:r w:rsidRPr="000A76C0">
        <w:rPr>
          <w:rFonts w:ascii="Simplified Arabic" w:hAnsi="Simplified Arabic" w:cs="Simplified Arabic"/>
          <w:color w:val="000000" w:themeColor="text1"/>
          <w:sz w:val="28"/>
          <w:szCs w:val="28"/>
          <w:rtl/>
          <w:lang w:bidi="ar-BH"/>
        </w:rPr>
        <w:t>وقف منح التراخيص ذات العلاقة بالعقار حتى المبادرة بسداد كلفة البنية التحتية المستحقة.</w:t>
      </w:r>
    </w:p>
    <w:p w14:paraId="0C799482" w14:textId="77777777" w:rsidR="00065AE8" w:rsidRPr="000A76C0" w:rsidRDefault="00065AE8" w:rsidP="000A76C0">
      <w:pPr>
        <w:pStyle w:val="ListParagraph"/>
        <w:bidi/>
        <w:spacing w:after="0" w:line="240" w:lineRule="auto"/>
        <w:ind w:hanging="360"/>
        <w:jc w:val="lowKashida"/>
        <w:rPr>
          <w:rFonts w:ascii="Simplified Arabic" w:hAnsi="Simplified Arabic" w:cs="Simplified Arabic"/>
          <w:color w:val="000000" w:themeColor="text1"/>
          <w:rtl/>
        </w:rPr>
      </w:pPr>
      <w:r w:rsidRPr="000A76C0">
        <w:rPr>
          <w:rFonts w:ascii="Simplified Arabic" w:hAnsi="Simplified Arabic" w:cs="Simplified Arabic"/>
          <w:b/>
          <w:bCs/>
          <w:color w:val="000000" w:themeColor="text1"/>
          <w:rtl/>
        </w:rPr>
        <w:t>2)</w:t>
      </w:r>
      <w:r w:rsidRPr="000A76C0">
        <w:rPr>
          <w:rFonts w:ascii="Simplified Arabic" w:hAnsi="Simplified Arabic" w:cs="Simplified Arabic"/>
          <w:b/>
          <w:bCs/>
          <w:color w:val="000000" w:themeColor="text1"/>
          <w:sz w:val="14"/>
          <w:szCs w:val="14"/>
          <w:rtl/>
        </w:rPr>
        <w:t xml:space="preserve">    </w:t>
      </w:r>
      <w:r w:rsidRPr="000A76C0">
        <w:rPr>
          <w:rFonts w:ascii="Simplified Arabic" w:hAnsi="Simplified Arabic" w:cs="Simplified Arabic"/>
          <w:color w:val="000000" w:themeColor="text1"/>
          <w:sz w:val="28"/>
          <w:szCs w:val="28"/>
          <w:rtl/>
          <w:lang w:bidi="ar-BH"/>
        </w:rPr>
        <w:t>إخطار الجهات الحكومية ذات العلاقة بإنشاء أو الإشراف على تنفيذ مرافق البنية التحتية باتخاذ اللازم بشأن عدم توصيل مرافق البنية التحتية للعقار، وذلك حتى سداد كلفة البنية التحتية المستحقة.</w:t>
      </w:r>
    </w:p>
    <w:p w14:paraId="2F42F135" w14:textId="77777777" w:rsidR="00065AE8" w:rsidRDefault="00065AE8" w:rsidP="000A76C0">
      <w:pPr>
        <w:pStyle w:val="ListParagraph"/>
        <w:bidi/>
        <w:spacing w:after="0" w:line="240" w:lineRule="auto"/>
        <w:ind w:hanging="360"/>
        <w:jc w:val="lowKashida"/>
        <w:rPr>
          <w:rFonts w:ascii="Simplified Arabic" w:hAnsi="Simplified Arabic" w:cs="Simplified Arabic"/>
          <w:color w:val="000000" w:themeColor="text1"/>
          <w:sz w:val="28"/>
          <w:szCs w:val="28"/>
          <w:rtl/>
          <w:lang w:bidi="ar-BH"/>
        </w:rPr>
      </w:pPr>
      <w:r w:rsidRPr="000A76C0">
        <w:rPr>
          <w:rFonts w:ascii="Simplified Arabic" w:hAnsi="Simplified Arabic" w:cs="Simplified Arabic"/>
          <w:b/>
          <w:bCs/>
          <w:color w:val="000000" w:themeColor="text1"/>
          <w:rtl/>
        </w:rPr>
        <w:t>3)</w:t>
      </w:r>
      <w:r w:rsidRPr="000A76C0">
        <w:rPr>
          <w:rFonts w:ascii="Simplified Arabic" w:hAnsi="Simplified Arabic" w:cs="Simplified Arabic"/>
          <w:b/>
          <w:bCs/>
          <w:color w:val="000000" w:themeColor="text1"/>
          <w:sz w:val="14"/>
          <w:szCs w:val="14"/>
          <w:rtl/>
        </w:rPr>
        <w:t xml:space="preserve">    </w:t>
      </w:r>
      <w:r w:rsidRPr="000A76C0">
        <w:rPr>
          <w:rFonts w:ascii="Simplified Arabic" w:hAnsi="Simplified Arabic" w:cs="Simplified Arabic"/>
          <w:color w:val="000000" w:themeColor="text1"/>
          <w:sz w:val="28"/>
          <w:szCs w:val="28"/>
          <w:rtl/>
          <w:lang w:bidi="ar-BH"/>
        </w:rPr>
        <w:t>إخطار جهاز المساحة والتسجيل العقاري بعدم إثبات أي تصرف ناقل للملكية في العقار أو تقرير أي حق عيني على العقار، أو تحميله بأية رهون، وذلك حتى سداد كلفة البنية التحتية المستحقة.</w:t>
      </w:r>
    </w:p>
    <w:p w14:paraId="74C57648" w14:textId="1A270177" w:rsidR="000A76C0" w:rsidRPr="000A76C0" w:rsidRDefault="000A76C0" w:rsidP="000A76C0">
      <w:pPr>
        <w:bidi/>
        <w:spacing w:after="0" w:line="240" w:lineRule="auto"/>
        <w:jc w:val="lowKashida"/>
        <w:rPr>
          <w:rFonts w:ascii="Simplified Arabic" w:hAnsi="Simplified Arabic" w:cs="Simplified Arabic"/>
          <w:color w:val="000000" w:themeColor="text1"/>
          <w:rtl/>
        </w:rPr>
      </w:pPr>
    </w:p>
    <w:p w14:paraId="79590065" w14:textId="77777777" w:rsidR="000A76C0" w:rsidRPr="000A76C0" w:rsidRDefault="000A76C0" w:rsidP="000A76C0">
      <w:pPr>
        <w:pStyle w:val="ListParagraph"/>
        <w:bidi/>
        <w:spacing w:after="0" w:line="240" w:lineRule="auto"/>
        <w:ind w:hanging="360"/>
        <w:jc w:val="lowKashida"/>
        <w:rPr>
          <w:rFonts w:ascii="Simplified Arabic" w:hAnsi="Simplified Arabic" w:cs="Simplified Arabic"/>
          <w:color w:val="000000" w:themeColor="text1"/>
          <w:rtl/>
        </w:rPr>
      </w:pPr>
    </w:p>
    <w:p w14:paraId="362C37A6"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التاسعة</w:t>
      </w:r>
    </w:p>
    <w:p w14:paraId="595FBA63"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تُحتسب رسوم خدمات توصيل البنية التحتية المقررة والمفروضة بموجب القوانين المعمول بها في المملكة ضمن كلفة البنية التحتية على الملاك المكلفين بأدائها.</w:t>
      </w:r>
    </w:p>
    <w:p w14:paraId="487E550F"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العاشرة</w:t>
      </w:r>
    </w:p>
    <w:p w14:paraId="31920C46"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يصدر الوزير القرارات اللازمة لتنفيذ أحكام هذا القانون.</w:t>
      </w:r>
    </w:p>
    <w:p w14:paraId="4AED9B84"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المادة الحادية عشرة</w:t>
      </w:r>
    </w:p>
    <w:p w14:paraId="1873F8BD" w14:textId="77777777" w:rsidR="00065AE8" w:rsidRPr="000A76C0" w:rsidRDefault="00065AE8" w:rsidP="000A76C0">
      <w:pPr>
        <w:bidi/>
        <w:spacing w:after="0" w:line="240" w:lineRule="auto"/>
        <w:jc w:val="lowKashida"/>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على رئيس مجلس الوزراء والوزراء - كل فيما يخصه - تنفيذ هذا القانون، ويُعمل به اعتباراً من الأول من نوفمبر 2015، ويُنشر في الجريدة الرسمية.</w:t>
      </w:r>
    </w:p>
    <w:p w14:paraId="341A1FB6" w14:textId="77777777" w:rsidR="00065AE8" w:rsidRPr="000A76C0" w:rsidRDefault="00065AE8" w:rsidP="00190023">
      <w:pPr>
        <w:bidi/>
        <w:spacing w:after="0" w:line="240" w:lineRule="auto"/>
        <w:jc w:val="right"/>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ملك مملكة البحرين</w:t>
      </w:r>
    </w:p>
    <w:p w14:paraId="693F53AB" w14:textId="77777777" w:rsidR="00065AE8" w:rsidRPr="000A76C0" w:rsidRDefault="00065AE8" w:rsidP="00190023">
      <w:pPr>
        <w:bidi/>
        <w:spacing w:after="0" w:line="240" w:lineRule="auto"/>
        <w:jc w:val="right"/>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حمد بن عيسى آل خليفة</w:t>
      </w:r>
    </w:p>
    <w:p w14:paraId="3D79BD0F"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رئيس مجلس الوزراء</w:t>
      </w:r>
    </w:p>
    <w:p w14:paraId="0256BE8C" w14:textId="77777777" w:rsidR="00065AE8" w:rsidRPr="000A76C0" w:rsidRDefault="00065AE8" w:rsidP="00190023">
      <w:pPr>
        <w:bidi/>
        <w:spacing w:after="0" w:line="240" w:lineRule="auto"/>
        <w:jc w:val="center"/>
        <w:rPr>
          <w:rFonts w:ascii="Simplified Arabic" w:hAnsi="Simplified Arabic" w:cs="Simplified Arabic"/>
          <w:color w:val="000000" w:themeColor="text1"/>
          <w:rtl/>
        </w:rPr>
      </w:pPr>
      <w:r w:rsidRPr="000A76C0">
        <w:rPr>
          <w:rFonts w:ascii="Simplified Arabic" w:hAnsi="Simplified Arabic" w:cs="Simplified Arabic"/>
          <w:b/>
          <w:bCs/>
          <w:color w:val="000000" w:themeColor="text1"/>
          <w:sz w:val="28"/>
          <w:szCs w:val="28"/>
          <w:rtl/>
          <w:lang w:bidi="ar-BH"/>
        </w:rPr>
        <w:t>خليفة بن سلمان آل خليفة</w:t>
      </w:r>
    </w:p>
    <w:p w14:paraId="54D8A905"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صدر في قصر الرفاع:</w:t>
      </w:r>
    </w:p>
    <w:p w14:paraId="16D90C73"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بتاريخ: 23 ذي الحجة 1436هـ</w:t>
      </w:r>
    </w:p>
    <w:p w14:paraId="1FBF43EA" w14:textId="77777777" w:rsidR="00065AE8" w:rsidRPr="000A76C0" w:rsidRDefault="00065AE8" w:rsidP="00190023">
      <w:pPr>
        <w:bidi/>
        <w:spacing w:after="0" w:line="240" w:lineRule="auto"/>
        <w:rPr>
          <w:rFonts w:ascii="Simplified Arabic" w:hAnsi="Simplified Arabic" w:cs="Simplified Arabic"/>
          <w:color w:val="000000" w:themeColor="text1"/>
          <w:rtl/>
        </w:rPr>
      </w:pPr>
      <w:r w:rsidRPr="000A76C0">
        <w:rPr>
          <w:rFonts w:ascii="Simplified Arabic" w:hAnsi="Simplified Arabic" w:cs="Simplified Arabic"/>
          <w:color w:val="000000" w:themeColor="text1"/>
          <w:sz w:val="28"/>
          <w:szCs w:val="28"/>
          <w:rtl/>
          <w:lang w:bidi="ar-BH"/>
        </w:rPr>
        <w:t>الموافق: 7 أكتوبر 2015م</w:t>
      </w:r>
    </w:p>
    <w:p w14:paraId="4E2339D3" w14:textId="77777777" w:rsidR="00D1685F" w:rsidRPr="000A76C0" w:rsidRDefault="00D1685F" w:rsidP="00190023">
      <w:pPr>
        <w:bidi/>
        <w:spacing w:line="240" w:lineRule="auto"/>
        <w:rPr>
          <w:rFonts w:ascii="Simplified Arabic" w:hAnsi="Simplified Arabic" w:cs="Simplified Arabic"/>
          <w:color w:val="000000" w:themeColor="text1"/>
        </w:rPr>
      </w:pPr>
    </w:p>
    <w:sectPr w:rsidR="00D1685F" w:rsidRPr="000A76C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367F" w14:textId="77777777" w:rsidR="00886DE1" w:rsidRDefault="00886DE1" w:rsidP="00065AE8">
      <w:pPr>
        <w:spacing w:after="0" w:line="240" w:lineRule="auto"/>
      </w:pPr>
      <w:r>
        <w:separator/>
      </w:r>
    </w:p>
  </w:endnote>
  <w:endnote w:type="continuationSeparator" w:id="0">
    <w:p w14:paraId="4E6FDC7D" w14:textId="77777777" w:rsidR="00886DE1" w:rsidRDefault="00886DE1" w:rsidP="00065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5D48" w14:textId="77777777" w:rsidR="00886DE1" w:rsidRDefault="00886DE1" w:rsidP="00065AE8">
      <w:pPr>
        <w:spacing w:after="0" w:line="240" w:lineRule="auto"/>
      </w:pPr>
      <w:r>
        <w:separator/>
      </w:r>
    </w:p>
  </w:footnote>
  <w:footnote w:type="continuationSeparator" w:id="0">
    <w:p w14:paraId="56E78051" w14:textId="77777777" w:rsidR="00886DE1" w:rsidRDefault="00886DE1" w:rsidP="00065AE8">
      <w:pPr>
        <w:spacing w:after="0" w:line="240" w:lineRule="auto"/>
      </w:pPr>
      <w:r>
        <w:continuationSeparator/>
      </w:r>
    </w:p>
  </w:footnote>
  <w:footnote w:id="1">
    <w:p w14:paraId="262002D9" w14:textId="2DAAF59E" w:rsidR="00065AE8" w:rsidRDefault="00065AE8" w:rsidP="00065AE8">
      <w:pPr>
        <w:pStyle w:val="FootnoteText"/>
        <w:bidi/>
        <w:rPr>
          <w:rtl/>
        </w:rPr>
      </w:pPr>
      <w:r>
        <w:rPr>
          <w:rStyle w:val="FootnoteReference"/>
        </w:rPr>
        <w:footnoteRef/>
      </w:r>
      <w:r>
        <w:rPr>
          <w:rStyle w:val="FootnoteReference"/>
        </w:rPr>
        <w:footnoteRef/>
      </w:r>
      <w:r>
        <w:t xml:space="preserve"> </w:t>
      </w:r>
      <w:r>
        <w:rPr>
          <w:rFonts w:hint="cs"/>
          <w:rtl/>
        </w:rPr>
        <w:t>أضيفت بموجب القانون رقم (29) لسنة 2022 بتعديل المادة الثانية من المرسوم بقانون رقم (25) لسنة 2015 بشأن تحصيل كلفة إنشاء وتطوير البنية التحتية في مناطق التعمير.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2752"/>
    <w:multiLevelType w:val="hybridMultilevel"/>
    <w:tmpl w:val="F07C73E8"/>
    <w:lvl w:ilvl="0" w:tplc="0722FCB8">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1263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E8"/>
    <w:rsid w:val="00065AE8"/>
    <w:rsid w:val="000A76C0"/>
    <w:rsid w:val="00190023"/>
    <w:rsid w:val="006D6126"/>
    <w:rsid w:val="00886DE1"/>
    <w:rsid w:val="009B5833"/>
    <w:rsid w:val="00B66B19"/>
    <w:rsid w:val="00D1685F"/>
    <w:rsid w:val="00D45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8186"/>
  <w15:chartTrackingRefBased/>
  <w15:docId w15:val="{A8E955DC-EB2E-497B-AEB3-1834AF2FF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E8"/>
    <w:pPr>
      <w:spacing w:line="254" w:lineRule="auto"/>
    </w:pPr>
    <w:rPr>
      <w:rFonts w:ascii="Calibri" w:eastAsiaTheme="minorEastAsia"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AE8"/>
    <w:pPr>
      <w:ind w:left="720"/>
    </w:pPr>
  </w:style>
  <w:style w:type="paragraph" w:styleId="FootnoteText">
    <w:name w:val="footnote text"/>
    <w:basedOn w:val="Normal"/>
    <w:link w:val="FootnoteTextChar"/>
    <w:uiPriority w:val="99"/>
    <w:semiHidden/>
    <w:unhideWhenUsed/>
    <w:rsid w:val="00065A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AE8"/>
    <w:rPr>
      <w:rFonts w:ascii="Calibri" w:eastAsiaTheme="minorEastAsia" w:hAnsi="Calibri" w:cs="Calibri"/>
      <w:sz w:val="20"/>
      <w:szCs w:val="20"/>
    </w:rPr>
  </w:style>
  <w:style w:type="character" w:styleId="FootnoteReference">
    <w:name w:val="footnote reference"/>
    <w:basedOn w:val="DefaultParagraphFont"/>
    <w:uiPriority w:val="99"/>
    <w:semiHidden/>
    <w:unhideWhenUsed/>
    <w:rsid w:val="00065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DA8F6-403D-4A9D-A67E-92B0FC716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811</Words>
  <Characters>4625</Characters>
  <Application>Microsoft Office Word</Application>
  <DocSecurity>0</DocSecurity>
  <Lines>38</Lines>
  <Paragraphs>10</Paragraphs>
  <ScaleCrop>false</ScaleCrop>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5</cp:revision>
  <dcterms:created xsi:type="dcterms:W3CDTF">2023-08-29T15:03:00Z</dcterms:created>
  <dcterms:modified xsi:type="dcterms:W3CDTF">2023-09-17T06:56:00Z</dcterms:modified>
</cp:coreProperties>
</file>