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78" w:rsidRPr="00442B22" w:rsidRDefault="0015358D" w:rsidP="00773896">
      <w:pPr>
        <w:pStyle w:val="Title"/>
        <w:spacing w:line="360" w:lineRule="auto"/>
        <w:rPr>
          <w:rFonts w:asciiTheme="majorBidi" w:hAnsiTheme="majorBidi" w:cstheme="majorBidi"/>
        </w:rPr>
      </w:pPr>
      <w:bookmarkStart w:id="0" w:name="_GoBack"/>
      <w:bookmarkEnd w:id="0"/>
      <w:r w:rsidRPr="00442B22">
        <w:rPr>
          <w:rFonts w:asciiTheme="majorBidi" w:hAnsiTheme="majorBidi" w:cstheme="majorBidi"/>
          <w:sz w:val="28"/>
          <w:szCs w:val="28"/>
          <w:rtl/>
          <w:lang w:bidi="ar-BH"/>
        </w:rPr>
        <w:t>مرسوم بقانون رقم</w:t>
      </w:r>
      <w:r w:rsidR="00583835" w:rsidRPr="00442B22">
        <w:rPr>
          <w:rFonts w:asciiTheme="majorBidi" w:hAnsiTheme="majorBidi" w:cstheme="majorBidi"/>
          <w:sz w:val="28"/>
          <w:szCs w:val="28"/>
          <w:rtl/>
          <w:lang w:bidi="ar-BH"/>
        </w:rPr>
        <w:t xml:space="preserve"> </w:t>
      </w:r>
      <w:r w:rsidRPr="00442B22">
        <w:rPr>
          <w:rFonts w:asciiTheme="majorBidi" w:hAnsiTheme="majorBidi" w:cstheme="majorBidi"/>
          <w:sz w:val="28"/>
          <w:szCs w:val="28"/>
          <w:rtl/>
          <w:lang w:bidi="ar-BH"/>
        </w:rPr>
        <w:t>(8) لسنة 1980</w:t>
      </w:r>
    </w:p>
    <w:p w:rsidR="00C27878" w:rsidRPr="00442B22" w:rsidRDefault="0015358D" w:rsidP="00773896">
      <w:pPr>
        <w:pStyle w:val="Title"/>
        <w:spacing w:line="360" w:lineRule="auto"/>
        <w:rPr>
          <w:rFonts w:asciiTheme="majorBidi" w:hAnsiTheme="majorBidi" w:cstheme="majorBidi"/>
          <w:rtl/>
        </w:rPr>
      </w:pPr>
      <w:r w:rsidRPr="00442B22">
        <w:rPr>
          <w:rFonts w:asciiTheme="majorBidi" w:hAnsiTheme="majorBidi" w:cstheme="majorBidi"/>
          <w:sz w:val="28"/>
          <w:szCs w:val="28"/>
          <w:rtl/>
          <w:lang w:bidi="ar-BH"/>
        </w:rPr>
        <w:t>بتقرير زيادة ل</w:t>
      </w:r>
      <w:r w:rsidR="00583835" w:rsidRPr="00442B22">
        <w:rPr>
          <w:rFonts w:asciiTheme="majorBidi" w:hAnsiTheme="majorBidi" w:cstheme="majorBidi"/>
          <w:sz w:val="28"/>
          <w:szCs w:val="28"/>
          <w:rtl/>
          <w:lang w:bidi="ar-BH"/>
        </w:rPr>
        <w:t>أ</w:t>
      </w:r>
      <w:r w:rsidRPr="00442B22">
        <w:rPr>
          <w:rFonts w:asciiTheme="majorBidi" w:hAnsiTheme="majorBidi" w:cstheme="majorBidi"/>
          <w:sz w:val="28"/>
          <w:szCs w:val="28"/>
          <w:rtl/>
          <w:lang w:bidi="ar-BH"/>
        </w:rPr>
        <w:t>صحاب المعاشات والمستحقين</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نحن عيسى بن سلمان آل خليفة</w:t>
      </w:r>
      <w:r w:rsidR="00583835" w:rsidRPr="00442B22">
        <w:rPr>
          <w:rFonts w:asciiTheme="majorBidi" w:hAnsiTheme="majorBidi" w:cstheme="majorBidi"/>
          <w:sz w:val="28"/>
          <w:szCs w:val="28"/>
          <w:rtl/>
        </w:rPr>
        <w:t xml:space="preserve">           </w:t>
      </w:r>
      <w:r w:rsidRPr="00442B22">
        <w:rPr>
          <w:rFonts w:asciiTheme="majorBidi" w:hAnsiTheme="majorBidi" w:cstheme="majorBidi"/>
          <w:sz w:val="28"/>
          <w:szCs w:val="28"/>
          <w:rtl/>
        </w:rPr>
        <w:t xml:space="preserve"> أمير دولة البحرين.</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بعد الاطلاع على الدستور،</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وعلى الأمر الأميري رقم (4) لسنة 1975،</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وعلى القانون رقم (13) لسنة 1975 بشأن تنظيم معاشات ومكافآت التقاعد لموظفي ومستخدمي الحكومة وتعديلاته،</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وعلى القانون رقم (11) لسنة 1976 بشأن تنظيم معاشات ومكافآت التقاعد لضباط وأفراد قوة دفاع البحرين والأمن العام وتعديلاته،</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وعلى القانون رقم (24) لسنة 1976 بشأن التأمين الاجتماعي وتعديلاته،</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وعلى قرار رئيس مجلس الوزراء رقم (12) لسنة 1979 بنظام المنح العائلية،</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وبناء على عرض وزير المالية والاقتصاد الوطني ووزير العمل والشئون الاجتماعية،</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وبعد موافقة مجلس الوزراء،</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b/>
          <w:bCs/>
          <w:sz w:val="28"/>
          <w:szCs w:val="28"/>
          <w:rtl/>
        </w:rPr>
        <w:t>رسمنا بالقانون الآتي:</w:t>
      </w:r>
    </w:p>
    <w:p w:rsidR="00C27878" w:rsidRPr="00442B22" w:rsidRDefault="0015358D" w:rsidP="00773896">
      <w:pPr>
        <w:pStyle w:val="Heading1"/>
        <w:spacing w:line="360" w:lineRule="auto"/>
        <w:jc w:val="center"/>
        <w:rPr>
          <w:rFonts w:asciiTheme="majorBidi" w:eastAsia="Times New Roman" w:hAnsiTheme="majorBidi" w:cstheme="majorBidi"/>
          <w:rtl/>
        </w:rPr>
      </w:pPr>
      <w:r w:rsidRPr="00442B22">
        <w:rPr>
          <w:rFonts w:asciiTheme="majorBidi" w:eastAsia="Times New Roman" w:hAnsiTheme="majorBidi" w:cstheme="majorBidi"/>
          <w:sz w:val="28"/>
          <w:szCs w:val="28"/>
          <w:rtl/>
        </w:rPr>
        <w:t>المادة الاولى</w:t>
      </w:r>
    </w:p>
    <w:p w:rsidR="00C27878" w:rsidRPr="00442B22" w:rsidRDefault="0015358D" w:rsidP="00773896">
      <w:pPr>
        <w:pStyle w:val="BodyText"/>
        <w:spacing w:line="360" w:lineRule="auto"/>
        <w:jc w:val="both"/>
        <w:rPr>
          <w:rFonts w:asciiTheme="majorBidi" w:hAnsiTheme="majorBidi" w:cstheme="majorBidi"/>
          <w:rtl/>
        </w:rPr>
      </w:pPr>
      <w:r w:rsidRPr="00442B22">
        <w:rPr>
          <w:rFonts w:asciiTheme="majorBidi" w:hAnsiTheme="majorBidi" w:cstheme="majorBidi"/>
          <w:sz w:val="28"/>
          <w:szCs w:val="28"/>
          <w:rtl/>
        </w:rPr>
        <w:t>تزاد المعاشات المستحقة والتي تستحق بالتطبيق للقانون رقم (13) لسنة 1975 والمرسوم بقانون رقم (11) لسنة 1976 والمرسوم بقانون رقم (24) لسنة 1976 على النحو التالي:</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(أولا) 15% من المعاش إذا قل عن خمسين ديناراً.</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(ثانيا) 10% من المعاش الش</w:t>
      </w:r>
      <w:r w:rsidRPr="00442B22">
        <w:rPr>
          <w:rFonts w:asciiTheme="majorBidi" w:hAnsiTheme="majorBidi" w:cstheme="majorBidi"/>
          <w:sz w:val="28"/>
          <w:szCs w:val="28"/>
          <w:rtl/>
          <w:lang w:bidi="ar-BH"/>
        </w:rPr>
        <w:t>ه</w:t>
      </w:r>
      <w:r w:rsidRPr="00442B22">
        <w:rPr>
          <w:rFonts w:asciiTheme="majorBidi" w:hAnsiTheme="majorBidi" w:cstheme="majorBidi"/>
          <w:sz w:val="28"/>
          <w:szCs w:val="28"/>
          <w:rtl/>
        </w:rPr>
        <w:t>ري إذا بلغ خمسين دينارا فأكثر.</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وذلك حتى لو تجاوزت المعاشات المشار اليها في هذين البندين بالزيادة المذكورة الحد الأقصى المقرر للمعاش في أي من القوانين المشار اليها آنفا.</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ويجب ألا تقل الزيادة المنصوص عليها في البند (ثانياً) عن سبعة دنانير وخمسمائة فلس لصاحب المعاش أو المستفيد أو بالنسبة لمجموع معاشات المستحقين عنهما.</w:t>
      </w:r>
    </w:p>
    <w:p w:rsidR="00C27878" w:rsidRPr="00442B22" w:rsidRDefault="0015358D" w:rsidP="00773896">
      <w:pPr>
        <w:spacing w:line="360" w:lineRule="auto"/>
        <w:jc w:val="both"/>
        <w:rPr>
          <w:rFonts w:asciiTheme="majorBidi" w:hAnsiTheme="majorBidi" w:cstheme="majorBidi"/>
          <w:sz w:val="28"/>
          <w:szCs w:val="28"/>
        </w:rPr>
      </w:pPr>
      <w:r w:rsidRPr="00442B22">
        <w:rPr>
          <w:rFonts w:asciiTheme="majorBidi" w:hAnsiTheme="majorBidi" w:cstheme="majorBidi"/>
          <w:sz w:val="28"/>
          <w:szCs w:val="28"/>
          <w:rtl/>
        </w:rPr>
        <w:t>ويجبر الفلس إلى مائة فلس.</w:t>
      </w:r>
    </w:p>
    <w:p w:rsidR="005E0A07" w:rsidRPr="00442B22" w:rsidRDefault="005E0A07"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 xml:space="preserve">ويجوز للمؤمن عليه الخاضع للمرسوم بقانون رقم (24) لسنة 1976 عند تقاعده وللمستحقين عنه عند وفاته استبدال مكافأة نقدية بالزيادة في المعاش المنصوص عليها في الفقرة الأولى من هذه المادة تحسب بواقع (3%) من متوسط الأجر الذي حسب على أساسه المعاش مضروباً في مدة شهور الخدمة المحسوبة في التقاعد، على أن يكون ذلك بطلب كتابي يقدم للهيئة العامة </w:t>
      </w:r>
      <w:r w:rsidRPr="00442B22">
        <w:rPr>
          <w:rFonts w:asciiTheme="majorBidi" w:hAnsiTheme="majorBidi" w:cstheme="majorBidi"/>
          <w:sz w:val="28"/>
          <w:szCs w:val="28"/>
          <w:rtl/>
        </w:rPr>
        <w:lastRenderedPageBreak/>
        <w:t xml:space="preserve">للتأمين الاجتماعي قبل صرف المعاش، ولا يسري هذا الحكم على المعاشات </w:t>
      </w:r>
      <w:proofErr w:type="spellStart"/>
      <w:r w:rsidRPr="00442B22">
        <w:rPr>
          <w:rFonts w:asciiTheme="majorBidi" w:hAnsiTheme="majorBidi" w:cstheme="majorBidi"/>
          <w:sz w:val="28"/>
          <w:szCs w:val="28"/>
          <w:rtl/>
        </w:rPr>
        <w:t>ال</w:t>
      </w:r>
      <w:r w:rsidR="00583835" w:rsidRPr="00442B22">
        <w:rPr>
          <w:rFonts w:asciiTheme="majorBidi" w:hAnsiTheme="majorBidi" w:cstheme="majorBidi"/>
          <w:sz w:val="28"/>
          <w:szCs w:val="28"/>
          <w:rtl/>
        </w:rPr>
        <w:t>إ</w:t>
      </w:r>
      <w:r w:rsidRPr="00442B22">
        <w:rPr>
          <w:rFonts w:asciiTheme="majorBidi" w:hAnsiTheme="majorBidi" w:cstheme="majorBidi"/>
          <w:sz w:val="28"/>
          <w:szCs w:val="28"/>
          <w:rtl/>
        </w:rPr>
        <w:t>صابية</w:t>
      </w:r>
      <w:proofErr w:type="spellEnd"/>
      <w:r w:rsidRPr="00442B22">
        <w:rPr>
          <w:rFonts w:asciiTheme="majorBidi" w:hAnsiTheme="majorBidi" w:cstheme="majorBidi"/>
          <w:sz w:val="28"/>
          <w:szCs w:val="28"/>
          <w:rtl/>
        </w:rPr>
        <w:t>. ويتم توزيع المكافأة على المستحقين وفقاً للأنصبة الواردة بالجدول رقم (7) الملحق بقانون التأمين الاجتماعي الصادر بالمرسوم بقانون رقم (24) لسنة 1976.</w:t>
      </w:r>
      <w:r w:rsidR="00773896" w:rsidRPr="00442B22">
        <w:rPr>
          <w:rFonts w:asciiTheme="majorBidi" w:hAnsiTheme="majorBidi" w:cstheme="majorBidi"/>
          <w:sz w:val="28"/>
          <w:szCs w:val="28"/>
          <w:vertAlign w:val="superscript"/>
        </w:rPr>
        <w:t>)</w:t>
      </w:r>
      <w:r w:rsidRPr="00442B22">
        <w:rPr>
          <w:rStyle w:val="FootnoteReference"/>
          <w:rFonts w:asciiTheme="majorBidi" w:hAnsiTheme="majorBidi" w:cstheme="majorBidi"/>
          <w:sz w:val="28"/>
          <w:szCs w:val="28"/>
          <w:rtl/>
        </w:rPr>
        <w:footnoteReference w:id="1"/>
      </w:r>
      <w:r w:rsidR="00773896" w:rsidRPr="00442B22">
        <w:rPr>
          <w:rFonts w:asciiTheme="majorBidi" w:hAnsiTheme="majorBidi" w:cstheme="majorBidi"/>
          <w:sz w:val="28"/>
          <w:szCs w:val="28"/>
          <w:vertAlign w:val="superscript"/>
        </w:rPr>
        <w:t>(</w:t>
      </w:r>
    </w:p>
    <w:p w:rsidR="00C27878" w:rsidRPr="00442B22" w:rsidRDefault="0015358D" w:rsidP="00773896">
      <w:pPr>
        <w:pStyle w:val="Heading1"/>
        <w:spacing w:after="120" w:line="360" w:lineRule="auto"/>
        <w:jc w:val="center"/>
        <w:rPr>
          <w:rFonts w:asciiTheme="majorBidi" w:eastAsia="Times New Roman" w:hAnsiTheme="majorBidi" w:cstheme="majorBidi"/>
          <w:rtl/>
        </w:rPr>
      </w:pPr>
      <w:r w:rsidRPr="00442B22">
        <w:rPr>
          <w:rFonts w:asciiTheme="majorBidi" w:eastAsia="Times New Roman" w:hAnsiTheme="majorBidi" w:cstheme="majorBidi"/>
          <w:sz w:val="28"/>
          <w:szCs w:val="28"/>
          <w:rtl/>
        </w:rPr>
        <w:t>المادة الثانية</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لا يترتب على صرف الزيادة المشار اليها في المادة السابقة أي مساس بالمنح العائلية المحددة بقرار رئيس مجلس الوزراء رقم 12 لسنة 1979 المشار إليه أعلاه.</w:t>
      </w:r>
    </w:p>
    <w:p w:rsidR="00C27878" w:rsidRPr="00442B22" w:rsidRDefault="0015358D" w:rsidP="00773896">
      <w:pPr>
        <w:pStyle w:val="Heading1"/>
        <w:spacing w:after="120" w:line="360" w:lineRule="auto"/>
        <w:jc w:val="center"/>
        <w:rPr>
          <w:rFonts w:asciiTheme="majorBidi" w:eastAsia="Times New Roman" w:hAnsiTheme="majorBidi" w:cstheme="majorBidi"/>
          <w:rtl/>
        </w:rPr>
      </w:pPr>
      <w:r w:rsidRPr="00442B22">
        <w:rPr>
          <w:rFonts w:asciiTheme="majorBidi" w:eastAsia="Times New Roman" w:hAnsiTheme="majorBidi" w:cstheme="majorBidi"/>
          <w:sz w:val="28"/>
          <w:szCs w:val="28"/>
          <w:rtl/>
        </w:rPr>
        <w:t>المادة الثالثة</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 xml:space="preserve">تتحمل الصناديق المنشأة طبقاً للقانون المشار اليها في المادة الاولى، كل </w:t>
      </w:r>
      <w:r w:rsidR="008E2C66" w:rsidRPr="00442B22">
        <w:rPr>
          <w:rFonts w:asciiTheme="majorBidi" w:hAnsiTheme="majorBidi" w:cstheme="majorBidi"/>
          <w:sz w:val="28"/>
          <w:szCs w:val="28"/>
          <w:rtl/>
        </w:rPr>
        <w:t>ب</w:t>
      </w:r>
      <w:r w:rsidRPr="00442B22">
        <w:rPr>
          <w:rFonts w:asciiTheme="majorBidi" w:hAnsiTheme="majorBidi" w:cstheme="majorBidi"/>
          <w:sz w:val="28"/>
          <w:szCs w:val="28"/>
          <w:rtl/>
        </w:rPr>
        <w:t>ما يخصه من هذه الزيادة.</w:t>
      </w:r>
    </w:p>
    <w:p w:rsidR="00C27878" w:rsidRPr="00442B22" w:rsidRDefault="0015358D" w:rsidP="00773896">
      <w:pPr>
        <w:pStyle w:val="Heading1"/>
        <w:spacing w:after="120" w:line="360" w:lineRule="auto"/>
        <w:jc w:val="center"/>
        <w:rPr>
          <w:rFonts w:asciiTheme="majorBidi" w:eastAsia="Times New Roman" w:hAnsiTheme="majorBidi" w:cstheme="majorBidi"/>
          <w:rtl/>
        </w:rPr>
      </w:pPr>
      <w:r w:rsidRPr="00442B22">
        <w:rPr>
          <w:rFonts w:asciiTheme="majorBidi" w:eastAsia="Times New Roman" w:hAnsiTheme="majorBidi" w:cstheme="majorBidi"/>
          <w:sz w:val="28"/>
          <w:szCs w:val="28"/>
          <w:rtl/>
        </w:rPr>
        <w:t>المادة الرابعة</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على وزير المالية والاقتصاد الوطني ووزير العمل والشئون الاجتماعية تنفيذ هذا القانون ويعمل به اعتباراً من أول فبراير سنة 1980 وينشر في الجريدة الرسمية.</w:t>
      </w:r>
    </w:p>
    <w:p w:rsidR="00C27878" w:rsidRPr="00442B22" w:rsidRDefault="0015358D" w:rsidP="00773896">
      <w:pPr>
        <w:spacing w:line="360" w:lineRule="auto"/>
        <w:ind w:left="5040" w:firstLine="720"/>
        <w:jc w:val="both"/>
        <w:rPr>
          <w:rFonts w:asciiTheme="majorBidi" w:hAnsiTheme="majorBidi" w:cstheme="majorBidi"/>
          <w:rtl/>
        </w:rPr>
      </w:pPr>
      <w:r w:rsidRPr="00442B22">
        <w:rPr>
          <w:rFonts w:asciiTheme="majorBidi" w:hAnsiTheme="majorBidi" w:cstheme="majorBidi"/>
          <w:b/>
          <w:bCs/>
          <w:sz w:val="28"/>
          <w:szCs w:val="28"/>
          <w:rtl/>
        </w:rPr>
        <w:t>أمير دولة البحرين</w:t>
      </w:r>
    </w:p>
    <w:p w:rsidR="00C27878" w:rsidRPr="00442B22" w:rsidRDefault="0015358D" w:rsidP="00773896">
      <w:pPr>
        <w:pStyle w:val="Heading2"/>
        <w:spacing w:line="360" w:lineRule="auto"/>
        <w:ind w:left="5040" w:firstLine="720"/>
        <w:jc w:val="both"/>
        <w:rPr>
          <w:rFonts w:asciiTheme="majorBidi" w:eastAsia="Times New Roman" w:hAnsiTheme="majorBidi" w:cstheme="majorBidi"/>
          <w:rtl/>
        </w:rPr>
      </w:pPr>
      <w:r w:rsidRPr="00442B22">
        <w:rPr>
          <w:rFonts w:asciiTheme="majorBidi" w:eastAsia="Times New Roman" w:hAnsiTheme="majorBidi" w:cstheme="majorBidi"/>
          <w:sz w:val="28"/>
          <w:szCs w:val="28"/>
          <w:rtl/>
        </w:rPr>
        <w:t>عيسى بن سلمان آل خليفة</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 xml:space="preserve">صدر بقصر الرفاع </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بتاريخ 4 ربيع الثاني 1400 هـ</w:t>
      </w:r>
    </w:p>
    <w:p w:rsidR="00C27878"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rPr>
        <w:t>الموافق 20 فبراير 1980 م</w:t>
      </w:r>
    </w:p>
    <w:p w:rsidR="0015358D" w:rsidRPr="00442B22" w:rsidRDefault="0015358D" w:rsidP="00773896">
      <w:pPr>
        <w:spacing w:line="360" w:lineRule="auto"/>
        <w:jc w:val="both"/>
        <w:rPr>
          <w:rFonts w:asciiTheme="majorBidi" w:hAnsiTheme="majorBidi" w:cstheme="majorBidi"/>
          <w:rtl/>
        </w:rPr>
      </w:pPr>
      <w:r w:rsidRPr="00442B22">
        <w:rPr>
          <w:rFonts w:asciiTheme="majorBidi" w:hAnsiTheme="majorBidi" w:cstheme="majorBidi"/>
          <w:sz w:val="28"/>
          <w:szCs w:val="28"/>
          <w:rtl/>
          <w:lang w:bidi="ar-BH"/>
        </w:rPr>
        <w:t> </w:t>
      </w:r>
    </w:p>
    <w:sectPr w:rsidR="0015358D" w:rsidRPr="00442B22" w:rsidSect="00773896">
      <w:pgSz w:w="11907" w:h="16840"/>
      <w:pgMar w:top="1440" w:right="1800" w:bottom="1440" w:left="1800"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E26" w:rsidRDefault="00614E26" w:rsidP="005E0A07">
      <w:r>
        <w:separator/>
      </w:r>
    </w:p>
  </w:endnote>
  <w:endnote w:type="continuationSeparator" w:id="0">
    <w:p w:rsidR="00614E26" w:rsidRDefault="00614E26" w:rsidP="005E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E26" w:rsidRDefault="00614E26" w:rsidP="005E0A07">
      <w:r>
        <w:separator/>
      </w:r>
    </w:p>
  </w:footnote>
  <w:footnote w:type="continuationSeparator" w:id="0">
    <w:p w:rsidR="00614E26" w:rsidRDefault="00614E26" w:rsidP="005E0A07">
      <w:r>
        <w:continuationSeparator/>
      </w:r>
    </w:p>
  </w:footnote>
  <w:footnote w:id="1">
    <w:p w:rsidR="005E0A07" w:rsidRPr="00773896" w:rsidRDefault="005E0A07" w:rsidP="00773896">
      <w:pPr>
        <w:pStyle w:val="FootnoteText"/>
        <w:jc w:val="both"/>
        <w:rPr>
          <w:sz w:val="24"/>
          <w:szCs w:val="24"/>
          <w:rtl/>
        </w:rPr>
      </w:pPr>
      <w:r w:rsidRPr="00773896">
        <w:rPr>
          <w:rStyle w:val="FootnoteReference"/>
          <w:sz w:val="24"/>
          <w:szCs w:val="24"/>
        </w:rPr>
        <w:footnoteRef/>
      </w:r>
      <w:r w:rsidR="00773896" w:rsidRPr="00773896">
        <w:rPr>
          <w:sz w:val="24"/>
          <w:szCs w:val="24"/>
          <w:vertAlign w:val="superscript"/>
        </w:rPr>
        <w:t>)</w:t>
      </w:r>
      <w:r w:rsidR="00773896" w:rsidRPr="00773896">
        <w:rPr>
          <w:rFonts w:hint="cs"/>
          <w:sz w:val="24"/>
          <w:szCs w:val="24"/>
          <w:vertAlign w:val="superscript"/>
          <w:rtl/>
        </w:rPr>
        <w:t>)</w:t>
      </w:r>
      <w:r w:rsidRPr="00773896">
        <w:rPr>
          <w:sz w:val="24"/>
          <w:szCs w:val="24"/>
          <w:rtl/>
        </w:rPr>
        <w:t xml:space="preserve"> </w:t>
      </w:r>
      <w:r w:rsidRPr="00773896">
        <w:rPr>
          <w:rFonts w:hint="cs"/>
          <w:sz w:val="24"/>
          <w:szCs w:val="24"/>
          <w:rtl/>
        </w:rPr>
        <w:t xml:space="preserve">أضيفت بموجب القانون </w:t>
      </w:r>
      <w:r w:rsidRPr="00773896">
        <w:rPr>
          <w:sz w:val="24"/>
          <w:szCs w:val="24"/>
          <w:rtl/>
        </w:rPr>
        <w:t>رقم (9) لسنة 2010</w:t>
      </w:r>
      <w:r w:rsidRPr="00773896">
        <w:rPr>
          <w:rFonts w:hint="cs"/>
          <w:sz w:val="24"/>
          <w:szCs w:val="24"/>
          <w:rtl/>
        </w:rPr>
        <w:t xml:space="preserve"> </w:t>
      </w:r>
      <w:r w:rsidRPr="00773896">
        <w:rPr>
          <w:sz w:val="24"/>
          <w:szCs w:val="24"/>
          <w:rtl/>
        </w:rPr>
        <w:t>بتعديل بعض أحكام المرسوم بقانون رقم (8) لسنة 1980</w:t>
      </w:r>
      <w:r w:rsidR="00583835" w:rsidRPr="00773896">
        <w:rPr>
          <w:rFonts w:hint="cs"/>
          <w:sz w:val="24"/>
          <w:szCs w:val="24"/>
          <w:rtl/>
        </w:rPr>
        <w:t xml:space="preserve"> </w:t>
      </w:r>
      <w:r w:rsidRPr="00773896">
        <w:rPr>
          <w:sz w:val="24"/>
          <w:szCs w:val="24"/>
          <w:rtl/>
        </w:rPr>
        <w:t>بتقرير زيادة لأصحاب المعاشات والمستحقين</w:t>
      </w:r>
      <w:r w:rsidRPr="00773896">
        <w:rPr>
          <w:rFonts w:hint="cs"/>
          <w:sz w:val="24"/>
          <w:szCs w:val="24"/>
          <w:rtl/>
        </w:rPr>
        <w:t>.</w:t>
      </w:r>
    </w:p>
    <w:p w:rsidR="005E0A07" w:rsidRDefault="005E0A0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5E0A07"/>
    <w:rsid w:val="0015358D"/>
    <w:rsid w:val="003A5937"/>
    <w:rsid w:val="00442B22"/>
    <w:rsid w:val="00583835"/>
    <w:rsid w:val="005E0A07"/>
    <w:rsid w:val="00614E26"/>
    <w:rsid w:val="00773896"/>
    <w:rsid w:val="00786A92"/>
    <w:rsid w:val="008E2C66"/>
    <w:rsid w:val="00A26CD5"/>
    <w:rsid w:val="00C27878"/>
    <w:rsid w:val="00C87F81"/>
    <w:rsid w:val="00F405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eastAsiaTheme="minorEastAsia"/>
      <w:sz w:val="24"/>
      <w:szCs w:val="24"/>
    </w:rPr>
  </w:style>
  <w:style w:type="paragraph" w:styleId="Heading1">
    <w:name w:val="heading 1"/>
    <w:basedOn w:val="Normal"/>
    <w:link w:val="Heading1Char"/>
    <w:uiPriority w:val="9"/>
    <w:qFormat/>
    <w:pPr>
      <w:keepNext/>
      <w:jc w:val="lowKashida"/>
      <w:outlineLvl w:val="0"/>
    </w:pPr>
    <w:rPr>
      <w:b/>
      <w:bCs/>
      <w:kern w:val="36"/>
      <w:sz w:val="20"/>
      <w:szCs w:val="20"/>
    </w:rPr>
  </w:style>
  <w:style w:type="paragraph" w:styleId="Heading2">
    <w:name w:val="heading 2"/>
    <w:basedOn w:val="Normal"/>
    <w:link w:val="Heading2Char"/>
    <w:uiPriority w:val="9"/>
    <w:qFormat/>
    <w:pPr>
      <w:keepNext/>
      <w:jc w:val="righ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pPr>
      <w:spacing w:before="120"/>
      <w:jc w:val="lowKashida"/>
    </w:pPr>
    <w:rPr>
      <w:sz w:val="20"/>
      <w:szCs w:val="20"/>
    </w:rPr>
  </w:style>
  <w:style w:type="character" w:customStyle="1" w:styleId="BodyTextChar">
    <w:name w:val="Body Text Char"/>
    <w:basedOn w:val="DefaultParagraphFont"/>
    <w:link w:val="BodyText"/>
    <w:uiPriority w:val="99"/>
    <w:semiHidden/>
    <w:rPr>
      <w:rFonts w:eastAsiaTheme="minorEastAsia"/>
      <w:sz w:val="24"/>
      <w:szCs w:val="24"/>
    </w:rPr>
  </w:style>
  <w:style w:type="paragraph" w:styleId="FootnoteText">
    <w:name w:val="footnote text"/>
    <w:basedOn w:val="Normal"/>
    <w:link w:val="FootnoteTextChar"/>
    <w:uiPriority w:val="99"/>
    <w:semiHidden/>
    <w:unhideWhenUsed/>
    <w:rsid w:val="005E0A07"/>
    <w:rPr>
      <w:sz w:val="20"/>
      <w:szCs w:val="20"/>
    </w:rPr>
  </w:style>
  <w:style w:type="character" w:customStyle="1" w:styleId="FootnoteTextChar">
    <w:name w:val="Footnote Text Char"/>
    <w:basedOn w:val="DefaultParagraphFont"/>
    <w:link w:val="FootnoteText"/>
    <w:uiPriority w:val="99"/>
    <w:semiHidden/>
    <w:rsid w:val="005E0A07"/>
    <w:rPr>
      <w:rFonts w:eastAsiaTheme="minorEastAsia"/>
    </w:rPr>
  </w:style>
  <w:style w:type="character" w:styleId="FootnoteReference">
    <w:name w:val="footnote reference"/>
    <w:basedOn w:val="DefaultParagraphFont"/>
    <w:uiPriority w:val="99"/>
    <w:semiHidden/>
    <w:unhideWhenUsed/>
    <w:rsid w:val="005E0A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eastAsiaTheme="minorEastAsia"/>
      <w:sz w:val="24"/>
      <w:szCs w:val="24"/>
    </w:rPr>
  </w:style>
  <w:style w:type="paragraph" w:styleId="Heading1">
    <w:name w:val="heading 1"/>
    <w:basedOn w:val="Normal"/>
    <w:link w:val="Heading1Char"/>
    <w:uiPriority w:val="9"/>
    <w:qFormat/>
    <w:pPr>
      <w:keepNext/>
      <w:jc w:val="lowKashida"/>
      <w:outlineLvl w:val="0"/>
    </w:pPr>
    <w:rPr>
      <w:b/>
      <w:bCs/>
      <w:kern w:val="36"/>
      <w:sz w:val="20"/>
      <w:szCs w:val="20"/>
    </w:rPr>
  </w:style>
  <w:style w:type="paragraph" w:styleId="Heading2">
    <w:name w:val="heading 2"/>
    <w:basedOn w:val="Normal"/>
    <w:link w:val="Heading2Char"/>
    <w:uiPriority w:val="9"/>
    <w:qFormat/>
    <w:pPr>
      <w:keepNext/>
      <w:jc w:val="right"/>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pPr>
      <w:spacing w:before="120"/>
      <w:jc w:val="lowKashida"/>
    </w:pPr>
    <w:rPr>
      <w:sz w:val="20"/>
      <w:szCs w:val="20"/>
    </w:rPr>
  </w:style>
  <w:style w:type="character" w:customStyle="1" w:styleId="BodyTextChar">
    <w:name w:val="Body Text Char"/>
    <w:basedOn w:val="DefaultParagraphFont"/>
    <w:link w:val="BodyText"/>
    <w:uiPriority w:val="99"/>
    <w:semiHidden/>
    <w:rPr>
      <w:rFonts w:eastAsiaTheme="minorEastAsia"/>
      <w:sz w:val="24"/>
      <w:szCs w:val="24"/>
    </w:rPr>
  </w:style>
  <w:style w:type="paragraph" w:styleId="FootnoteText">
    <w:name w:val="footnote text"/>
    <w:basedOn w:val="Normal"/>
    <w:link w:val="FootnoteTextChar"/>
    <w:uiPriority w:val="99"/>
    <w:semiHidden/>
    <w:unhideWhenUsed/>
    <w:rsid w:val="005E0A07"/>
    <w:rPr>
      <w:sz w:val="20"/>
      <w:szCs w:val="20"/>
    </w:rPr>
  </w:style>
  <w:style w:type="character" w:customStyle="1" w:styleId="FootnoteTextChar">
    <w:name w:val="Footnote Text Char"/>
    <w:basedOn w:val="DefaultParagraphFont"/>
    <w:link w:val="FootnoteText"/>
    <w:uiPriority w:val="99"/>
    <w:semiHidden/>
    <w:rsid w:val="005E0A07"/>
    <w:rPr>
      <w:rFonts w:eastAsiaTheme="minorEastAsia"/>
    </w:rPr>
  </w:style>
  <w:style w:type="character" w:styleId="FootnoteReference">
    <w:name w:val="footnote reference"/>
    <w:basedOn w:val="DefaultParagraphFont"/>
    <w:uiPriority w:val="99"/>
    <w:semiHidden/>
    <w:unhideWhenUsed/>
    <w:rsid w:val="005E0A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0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67E13-784D-4261-9EC1-3FC4647A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مرسوم بقانون رقم(8) لسنة 1980</vt:lpstr>
    </vt:vector>
  </TitlesOfParts>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رقم(8) لسنة 1980</dc:title>
  <dc:creator>عائشه ناصر صقر عيسى الشيراوي</dc:creator>
  <cp:lastModifiedBy>ساره علي عبدالله علي ناصر</cp:lastModifiedBy>
  <cp:revision>3</cp:revision>
  <dcterms:created xsi:type="dcterms:W3CDTF">2020-05-17T05:34:00Z</dcterms:created>
  <dcterms:modified xsi:type="dcterms:W3CDTF">2020-06-03T22:11:00Z</dcterms:modified>
</cp:coreProperties>
</file>