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D574" w14:textId="77777777" w:rsidR="00711B70" w:rsidRPr="00CE6D06" w:rsidRDefault="00093D59">
      <w:pPr>
        <w:pStyle w:val="Title"/>
        <w:spacing w:line="480" w:lineRule="auto"/>
        <w:rPr>
          <w:color w:val="000000" w:themeColor="text1"/>
        </w:rPr>
      </w:pPr>
      <w:r w:rsidRPr="00CE6D06">
        <w:rPr>
          <w:rFonts w:hint="cs"/>
          <w:color w:val="000000" w:themeColor="text1"/>
          <w:sz w:val="28"/>
          <w:szCs w:val="28"/>
          <w:rtl/>
        </w:rPr>
        <w:t>قانون رقم (10) لسنة 2006</w:t>
      </w:r>
    </w:p>
    <w:p w14:paraId="78D60D9E" w14:textId="4449FCC0" w:rsidR="00AE15CC" w:rsidRPr="00CE6D06" w:rsidRDefault="00AE15CC" w:rsidP="00AE15CC">
      <w:pPr>
        <w:spacing w:line="480" w:lineRule="auto"/>
        <w:jc w:val="center"/>
        <w:rPr>
          <w:b/>
          <w:bCs/>
          <w:color w:val="000000" w:themeColor="text1"/>
          <w:sz w:val="28"/>
          <w:szCs w:val="28"/>
          <w:rtl/>
        </w:rPr>
      </w:pPr>
      <w:r w:rsidRPr="00CE6D06">
        <w:rPr>
          <w:rFonts w:hint="cs"/>
          <w:b/>
          <w:bCs/>
          <w:color w:val="000000" w:themeColor="text1"/>
          <w:sz w:val="28"/>
          <w:szCs w:val="28"/>
          <w:rtl/>
        </w:rPr>
        <w:t xml:space="preserve">بشأن </w:t>
      </w:r>
      <w:r w:rsidRPr="00CE6D06">
        <w:rPr>
          <w:b/>
          <w:bCs/>
          <w:color w:val="000000" w:themeColor="text1"/>
          <w:sz w:val="28"/>
          <w:szCs w:val="28"/>
          <w:rtl/>
        </w:rPr>
        <w:t>بعض مهام واختصاصات الجهات المختصة بالنِّفْط والغاز</w:t>
      </w:r>
    </w:p>
    <w:p w14:paraId="46D56EB1" w14:textId="77777777" w:rsidR="00AE15CC" w:rsidRPr="00CE6D06" w:rsidRDefault="00AE15CC" w:rsidP="00AE15CC">
      <w:pPr>
        <w:spacing w:line="480" w:lineRule="auto"/>
        <w:jc w:val="center"/>
        <w:rPr>
          <w:b/>
          <w:bCs/>
          <w:color w:val="000000" w:themeColor="text1"/>
          <w:sz w:val="28"/>
          <w:szCs w:val="28"/>
          <w:rtl/>
        </w:rPr>
      </w:pPr>
      <w:r w:rsidRPr="00CE6D06">
        <w:rPr>
          <w:b/>
          <w:bCs/>
          <w:color w:val="000000" w:themeColor="text1"/>
          <w:sz w:val="28"/>
          <w:szCs w:val="28"/>
          <w:rtl/>
        </w:rPr>
        <w:t>وتعديل بعض أحكام المرسوم بقانون رقم (42) لسنة 1999</w:t>
      </w:r>
    </w:p>
    <w:p w14:paraId="7A7956B7" w14:textId="249DDFA1" w:rsidR="00711B70" w:rsidRPr="00CE6D06" w:rsidRDefault="00AE15CC" w:rsidP="00F94A63">
      <w:pPr>
        <w:spacing w:line="480" w:lineRule="auto"/>
        <w:jc w:val="center"/>
        <w:rPr>
          <w:b/>
          <w:bCs/>
          <w:color w:val="000000" w:themeColor="text1"/>
          <w:sz w:val="28"/>
          <w:szCs w:val="28"/>
          <w:rtl/>
        </w:rPr>
      </w:pPr>
      <w:r w:rsidRPr="00CE6D06">
        <w:rPr>
          <w:b/>
          <w:bCs/>
          <w:color w:val="000000" w:themeColor="text1"/>
          <w:sz w:val="28"/>
          <w:szCs w:val="28"/>
          <w:rtl/>
        </w:rPr>
        <w:t>بإنشاء شركة نِفْط البحرين</w:t>
      </w:r>
      <w:r w:rsidR="001377D9" w:rsidRPr="00CE6D06">
        <w:rPr>
          <w:rStyle w:val="FootnoteReference"/>
          <w:b/>
          <w:bCs/>
          <w:color w:val="000000" w:themeColor="text1"/>
          <w:sz w:val="28"/>
          <w:szCs w:val="28"/>
          <w:rtl/>
        </w:rPr>
        <w:footnoteReference w:id="1"/>
      </w:r>
    </w:p>
    <w:p w14:paraId="2204DF28" w14:textId="77777777" w:rsidR="00F94A63" w:rsidRPr="00CE6D06" w:rsidRDefault="00F94A63" w:rsidP="00F94A63">
      <w:pPr>
        <w:spacing w:line="480" w:lineRule="auto"/>
        <w:jc w:val="center"/>
        <w:rPr>
          <w:b/>
          <w:bCs/>
          <w:color w:val="000000" w:themeColor="text1"/>
          <w:sz w:val="28"/>
          <w:szCs w:val="28"/>
          <w:rtl/>
        </w:rPr>
      </w:pPr>
    </w:p>
    <w:p w14:paraId="1C00A717" w14:textId="77777777" w:rsidR="00711B70" w:rsidRPr="00CE6D06" w:rsidRDefault="00093D59">
      <w:pPr>
        <w:spacing w:line="480" w:lineRule="auto"/>
        <w:rPr>
          <w:color w:val="000000" w:themeColor="text1"/>
          <w:rtl/>
        </w:rPr>
      </w:pPr>
      <w:r w:rsidRPr="00CE6D06">
        <w:rPr>
          <w:rFonts w:hint="cs"/>
          <w:color w:val="000000" w:themeColor="text1"/>
          <w:sz w:val="28"/>
          <w:szCs w:val="28"/>
          <w:rtl/>
        </w:rPr>
        <w:t xml:space="preserve">نحن حمد بن عيسى آل خليفة                      ملك مملكة البحرين. </w:t>
      </w:r>
    </w:p>
    <w:p w14:paraId="6016D387" w14:textId="5611DA1E" w:rsidR="00711B70" w:rsidRPr="00CE6D06" w:rsidRDefault="00093D59">
      <w:pPr>
        <w:spacing w:line="480" w:lineRule="auto"/>
        <w:rPr>
          <w:color w:val="000000" w:themeColor="text1"/>
          <w:rtl/>
        </w:rPr>
      </w:pPr>
      <w:r w:rsidRPr="00CE6D06">
        <w:rPr>
          <w:rFonts w:hint="cs"/>
          <w:color w:val="000000" w:themeColor="text1"/>
          <w:sz w:val="28"/>
          <w:szCs w:val="28"/>
          <w:rtl/>
        </w:rPr>
        <w:t xml:space="preserve">بعد </w:t>
      </w:r>
      <w:r w:rsidR="00F94A63" w:rsidRPr="00CE6D06">
        <w:rPr>
          <w:rFonts w:hint="cs"/>
          <w:color w:val="000000" w:themeColor="text1"/>
          <w:sz w:val="28"/>
          <w:szCs w:val="28"/>
          <w:rtl/>
        </w:rPr>
        <w:t>الاطلاع</w:t>
      </w:r>
      <w:r w:rsidRPr="00CE6D06">
        <w:rPr>
          <w:rFonts w:hint="cs"/>
          <w:color w:val="000000" w:themeColor="text1"/>
          <w:sz w:val="28"/>
          <w:szCs w:val="28"/>
          <w:rtl/>
        </w:rPr>
        <w:t xml:space="preserve"> </w:t>
      </w:r>
      <w:r w:rsidR="00241575" w:rsidRPr="00CE6D06">
        <w:rPr>
          <w:rFonts w:hint="cs"/>
          <w:color w:val="000000" w:themeColor="text1"/>
          <w:sz w:val="28"/>
          <w:szCs w:val="28"/>
          <w:rtl/>
        </w:rPr>
        <w:t xml:space="preserve">على </w:t>
      </w:r>
      <w:r w:rsidRPr="00CE6D06">
        <w:rPr>
          <w:rFonts w:hint="cs"/>
          <w:color w:val="000000" w:themeColor="text1"/>
          <w:sz w:val="28"/>
          <w:szCs w:val="28"/>
          <w:rtl/>
        </w:rPr>
        <w:t xml:space="preserve">الدستور، </w:t>
      </w:r>
    </w:p>
    <w:p w14:paraId="66BDC865" w14:textId="77777777" w:rsidR="00711B70" w:rsidRPr="00CE6D06" w:rsidRDefault="00093D59">
      <w:pPr>
        <w:spacing w:line="480" w:lineRule="auto"/>
        <w:rPr>
          <w:color w:val="000000" w:themeColor="text1"/>
          <w:rtl/>
        </w:rPr>
      </w:pPr>
      <w:r w:rsidRPr="00CE6D06">
        <w:rPr>
          <w:rFonts w:hint="cs"/>
          <w:color w:val="000000" w:themeColor="text1"/>
          <w:sz w:val="28"/>
          <w:szCs w:val="28"/>
          <w:rtl/>
        </w:rPr>
        <w:t>وعلى المرسوم بقانون رقم (25) لسنة 1980 بإنشاء المجلس الأعلى للنفط،</w:t>
      </w:r>
    </w:p>
    <w:p w14:paraId="19BDA92E" w14:textId="77777777" w:rsidR="00711B70" w:rsidRPr="00CE6D06" w:rsidRDefault="00093D59">
      <w:pPr>
        <w:spacing w:line="480" w:lineRule="auto"/>
        <w:rPr>
          <w:color w:val="000000" w:themeColor="text1"/>
          <w:rtl/>
        </w:rPr>
      </w:pPr>
      <w:r w:rsidRPr="00CE6D06">
        <w:rPr>
          <w:rFonts w:hint="cs"/>
          <w:color w:val="000000" w:themeColor="text1"/>
          <w:sz w:val="28"/>
          <w:szCs w:val="28"/>
          <w:rtl/>
        </w:rPr>
        <w:t>وعلى المرسوم بقانون رقم (42) لسنة 1999 بإنشاء شركة نفط البحرين،</w:t>
      </w:r>
    </w:p>
    <w:p w14:paraId="1C0FFF10" w14:textId="77777777" w:rsidR="00711B70" w:rsidRPr="00CE6D06" w:rsidRDefault="00093D59">
      <w:pPr>
        <w:spacing w:line="480" w:lineRule="auto"/>
        <w:rPr>
          <w:color w:val="000000" w:themeColor="text1"/>
          <w:rtl/>
        </w:rPr>
      </w:pPr>
      <w:r w:rsidRPr="00CE6D06">
        <w:rPr>
          <w:rFonts w:hint="cs"/>
          <w:color w:val="000000" w:themeColor="text1"/>
          <w:sz w:val="28"/>
          <w:szCs w:val="28"/>
          <w:rtl/>
        </w:rPr>
        <w:t>وعلى قانون الشركات التجارية الصادر بالمرسوم بقانون رقم (21) لسنة 2001،</w:t>
      </w:r>
    </w:p>
    <w:p w14:paraId="2CB8C8E1" w14:textId="77777777" w:rsidR="00711B70" w:rsidRPr="00CE6D06" w:rsidRDefault="00093D59">
      <w:pPr>
        <w:spacing w:line="480" w:lineRule="auto"/>
        <w:rPr>
          <w:color w:val="000000" w:themeColor="text1"/>
          <w:rtl/>
        </w:rPr>
      </w:pPr>
      <w:r w:rsidRPr="00CE6D06">
        <w:rPr>
          <w:rFonts w:hint="cs"/>
          <w:color w:val="000000" w:themeColor="text1"/>
          <w:sz w:val="28"/>
          <w:szCs w:val="28"/>
          <w:rtl/>
        </w:rPr>
        <w:t>وعلى المرسوم رقم (63) لسنة 2005 بإنشاء الهيئة الوطنية للنفط والغاز،</w:t>
      </w:r>
    </w:p>
    <w:p w14:paraId="47FF1ED4" w14:textId="77777777" w:rsidR="00711B70" w:rsidRPr="00CE6D06" w:rsidRDefault="00093D59">
      <w:pPr>
        <w:spacing w:line="480" w:lineRule="auto"/>
        <w:rPr>
          <w:color w:val="000000" w:themeColor="text1"/>
          <w:rtl/>
        </w:rPr>
      </w:pPr>
      <w:r w:rsidRPr="00CE6D06">
        <w:rPr>
          <w:rFonts w:hint="cs"/>
          <w:color w:val="000000" w:themeColor="text1"/>
          <w:sz w:val="28"/>
          <w:szCs w:val="28"/>
          <w:rtl/>
        </w:rPr>
        <w:t>وعلى المرسوم رقم (78) لسنة 2005 بتشكيل مجلس إدارة الهيئة الوطنية للنفط والغاز،</w:t>
      </w:r>
    </w:p>
    <w:p w14:paraId="214E829C" w14:textId="77777777" w:rsidR="00711B70" w:rsidRPr="00CE6D06" w:rsidRDefault="00093D59">
      <w:pPr>
        <w:spacing w:line="480" w:lineRule="auto"/>
        <w:rPr>
          <w:color w:val="000000" w:themeColor="text1"/>
          <w:rtl/>
        </w:rPr>
      </w:pPr>
      <w:r w:rsidRPr="00CE6D06">
        <w:rPr>
          <w:rFonts w:hint="cs"/>
          <w:color w:val="000000" w:themeColor="text1"/>
          <w:sz w:val="28"/>
          <w:szCs w:val="28"/>
          <w:rtl/>
        </w:rPr>
        <w:t>أقر مجلس الشورى ومجلس النواب القانون الآتي نصه ، وقد صدقنا عليه وأصدرناه:</w:t>
      </w:r>
    </w:p>
    <w:p w14:paraId="5BF55B1C" w14:textId="3E5301EE" w:rsidR="00711B70" w:rsidRPr="00CE6D06" w:rsidRDefault="00711B70">
      <w:pPr>
        <w:spacing w:line="480" w:lineRule="auto"/>
        <w:rPr>
          <w:color w:val="000000" w:themeColor="text1"/>
          <w:sz w:val="14"/>
          <w:szCs w:val="14"/>
          <w:rtl/>
        </w:rPr>
      </w:pPr>
    </w:p>
    <w:p w14:paraId="6EB5231A" w14:textId="77777777" w:rsidR="00711B70" w:rsidRPr="00CE6D06" w:rsidRDefault="00093D59">
      <w:pPr>
        <w:pStyle w:val="Heading1"/>
        <w:spacing w:line="480" w:lineRule="auto"/>
        <w:rPr>
          <w:rFonts w:eastAsia="Times New Roman"/>
          <w:color w:val="000000" w:themeColor="text1"/>
          <w:rtl/>
        </w:rPr>
      </w:pPr>
      <w:r w:rsidRPr="00CE6D06">
        <w:rPr>
          <w:rFonts w:eastAsia="Times New Roman" w:hint="cs"/>
          <w:color w:val="000000" w:themeColor="text1"/>
          <w:sz w:val="28"/>
          <w:szCs w:val="28"/>
          <w:rtl/>
        </w:rPr>
        <w:t>المادة الأولى</w:t>
      </w:r>
    </w:p>
    <w:p w14:paraId="361085CC" w14:textId="38BD8D1B" w:rsidR="00711B70" w:rsidRPr="00CE6D06" w:rsidRDefault="00093D59" w:rsidP="00F94A63">
      <w:pPr>
        <w:spacing w:line="480" w:lineRule="auto"/>
        <w:jc w:val="lowKashida"/>
        <w:rPr>
          <w:color w:val="000000" w:themeColor="text1"/>
          <w:rtl/>
        </w:rPr>
      </w:pPr>
      <w:r w:rsidRPr="00CE6D06">
        <w:rPr>
          <w:rFonts w:hint="cs"/>
          <w:color w:val="000000" w:themeColor="text1"/>
          <w:sz w:val="28"/>
          <w:szCs w:val="28"/>
          <w:rtl/>
        </w:rPr>
        <w:t>مع مراعاة أحكام هذا القانون</w:t>
      </w:r>
      <w:r w:rsidR="0069705B" w:rsidRPr="00CE6D06">
        <w:rPr>
          <w:rStyle w:val="FootnoteReference"/>
          <w:color w:val="000000" w:themeColor="text1"/>
          <w:sz w:val="28"/>
          <w:szCs w:val="28"/>
          <w:rtl/>
        </w:rPr>
        <w:footnoteReference w:id="2"/>
      </w:r>
      <w:r w:rsidRPr="00CE6D06">
        <w:rPr>
          <w:rFonts w:hint="cs"/>
          <w:color w:val="000000" w:themeColor="text1"/>
          <w:sz w:val="28"/>
          <w:szCs w:val="28"/>
          <w:rtl/>
        </w:rPr>
        <w:t xml:space="preserve">، </w:t>
      </w:r>
      <w:r w:rsidRPr="00CE6D06">
        <w:rPr>
          <w:rFonts w:hint="cs"/>
          <w:color w:val="000000" w:themeColor="text1"/>
          <w:sz w:val="28"/>
          <w:szCs w:val="28"/>
          <w:rtl/>
        </w:rPr>
        <w:t xml:space="preserve">تحل </w:t>
      </w:r>
      <w:r w:rsidR="0069705B" w:rsidRPr="00CE6D06">
        <w:rPr>
          <w:rFonts w:ascii="Arial" w:hAnsi="Arial" w:cs="Arial"/>
          <w:color w:val="000000" w:themeColor="text1"/>
          <w:sz w:val="28"/>
          <w:szCs w:val="28"/>
          <w:rtl/>
        </w:rPr>
        <w:t>الجهة التي يصدر بتحديدها مرسوم</w:t>
      </w:r>
      <w:r w:rsidR="0069705B" w:rsidRPr="00CE6D06">
        <w:rPr>
          <w:rStyle w:val="FootnoteReference"/>
          <w:rFonts w:ascii="Arial" w:hAnsi="Arial" w:cs="Arial"/>
          <w:color w:val="000000" w:themeColor="text1"/>
          <w:sz w:val="28"/>
          <w:szCs w:val="28"/>
          <w:rtl/>
        </w:rPr>
        <w:footnoteReference w:id="3"/>
      </w:r>
      <w:r w:rsidR="0069705B" w:rsidRPr="00CE6D06">
        <w:rPr>
          <w:rFonts w:ascii="Arial" w:hAnsi="Arial" w:cs="Arial" w:hint="cs"/>
          <w:color w:val="000000" w:themeColor="text1"/>
          <w:sz w:val="28"/>
          <w:szCs w:val="28"/>
          <w:rtl/>
        </w:rPr>
        <w:t xml:space="preserve"> </w:t>
      </w:r>
      <w:r w:rsidRPr="00CE6D06">
        <w:rPr>
          <w:rFonts w:hint="cs"/>
          <w:color w:val="000000" w:themeColor="text1"/>
          <w:sz w:val="28"/>
          <w:szCs w:val="28"/>
          <w:rtl/>
        </w:rPr>
        <w:t xml:space="preserve">محل المجلس الأعلى للنفط في مباشرة جميع اختصاصاته المنصوص عليها في المرسوم بقانون رقم (25) لسنة 1980 بإنشاء المجلس الأعلى للنفط والمرسوم بقانون رقم (42) لسنة 1999 بإنشاء شركة نفط البحرين، بما يترتب على ذلك من إلغاء أمانة المجلس. </w:t>
      </w:r>
    </w:p>
    <w:p w14:paraId="32E9A592" w14:textId="77777777" w:rsidR="00711B70" w:rsidRPr="00CE6D06" w:rsidRDefault="00093D59">
      <w:pPr>
        <w:spacing w:line="480" w:lineRule="auto"/>
        <w:rPr>
          <w:color w:val="000000" w:themeColor="text1"/>
          <w:rtl/>
        </w:rPr>
      </w:pPr>
      <w:r w:rsidRPr="00CE6D06">
        <w:rPr>
          <w:rFonts w:hint="cs"/>
          <w:color w:val="000000" w:themeColor="text1"/>
          <w:sz w:val="28"/>
          <w:szCs w:val="28"/>
          <w:rtl/>
        </w:rPr>
        <w:t> </w:t>
      </w:r>
    </w:p>
    <w:p w14:paraId="4881B04C" w14:textId="77777777" w:rsidR="00711B70" w:rsidRPr="00CE6D06" w:rsidRDefault="00093D59">
      <w:pPr>
        <w:pStyle w:val="Heading1"/>
        <w:spacing w:line="480" w:lineRule="auto"/>
        <w:rPr>
          <w:rFonts w:eastAsia="Times New Roman"/>
          <w:color w:val="000000" w:themeColor="text1"/>
          <w:rtl/>
        </w:rPr>
      </w:pPr>
      <w:r w:rsidRPr="00CE6D06">
        <w:rPr>
          <w:rFonts w:eastAsia="Times New Roman" w:hint="cs"/>
          <w:color w:val="000000" w:themeColor="text1"/>
          <w:sz w:val="28"/>
          <w:szCs w:val="28"/>
          <w:rtl/>
        </w:rPr>
        <w:t>المادة الثانية</w:t>
      </w:r>
    </w:p>
    <w:p w14:paraId="325540C8" w14:textId="345229B2" w:rsidR="00711B70" w:rsidRPr="00CE6D06" w:rsidRDefault="00093D59" w:rsidP="00F94A63">
      <w:pPr>
        <w:spacing w:line="480" w:lineRule="auto"/>
        <w:ind w:left="720" w:hanging="720"/>
        <w:jc w:val="lowKashida"/>
        <w:rPr>
          <w:color w:val="000000" w:themeColor="text1"/>
          <w:rtl/>
        </w:rPr>
      </w:pPr>
      <w:r w:rsidRPr="00CE6D06">
        <w:rPr>
          <w:color w:val="000000" w:themeColor="text1"/>
          <w:sz w:val="14"/>
          <w:szCs w:val="14"/>
          <w:rtl/>
        </w:rPr>
        <w:t xml:space="preserve">          </w:t>
      </w:r>
      <w:r w:rsidRPr="00CE6D06">
        <w:rPr>
          <w:rFonts w:hint="cs"/>
          <w:color w:val="000000" w:themeColor="text1"/>
          <w:sz w:val="28"/>
          <w:szCs w:val="28"/>
          <w:rtl/>
        </w:rPr>
        <w:t>‌أ</w:t>
      </w:r>
      <w:r w:rsidR="00F94A63" w:rsidRPr="00CE6D06">
        <w:rPr>
          <w:rFonts w:hint="cs"/>
          <w:color w:val="000000" w:themeColor="text1"/>
          <w:sz w:val="28"/>
          <w:szCs w:val="28"/>
          <w:rtl/>
        </w:rPr>
        <w:t xml:space="preserve">) </w:t>
      </w:r>
      <w:r w:rsidRPr="00CE6D06">
        <w:rPr>
          <w:rFonts w:hint="cs"/>
          <w:color w:val="000000" w:themeColor="text1"/>
          <w:sz w:val="28"/>
          <w:szCs w:val="28"/>
          <w:rtl/>
        </w:rPr>
        <w:t xml:space="preserve">يتولى إدارة شركة نفط البحرين مجلس إدارة يصدر بتشكيله قرار من </w:t>
      </w:r>
      <w:r w:rsidR="007E1FD7" w:rsidRPr="00CE6D06">
        <w:rPr>
          <w:rFonts w:ascii="Arial" w:hAnsi="Arial" w:cs="Arial"/>
          <w:color w:val="000000" w:themeColor="text1"/>
          <w:sz w:val="28"/>
          <w:szCs w:val="28"/>
          <w:rtl/>
        </w:rPr>
        <w:t>الجهة التي يصدر بتحديدها مرسوم</w:t>
      </w:r>
      <w:r w:rsidR="0069705B" w:rsidRPr="00CE6D06">
        <w:rPr>
          <w:rStyle w:val="FootnoteReference"/>
          <w:rFonts w:ascii="Arial" w:hAnsi="Arial" w:cs="Arial"/>
          <w:color w:val="000000" w:themeColor="text1"/>
          <w:sz w:val="28"/>
          <w:szCs w:val="28"/>
          <w:rtl/>
        </w:rPr>
        <w:footnoteReference w:id="4"/>
      </w:r>
      <w:r w:rsidR="007E1FD7" w:rsidRPr="00CE6D06">
        <w:rPr>
          <w:rFonts w:hint="cs"/>
          <w:color w:val="000000" w:themeColor="text1"/>
          <w:sz w:val="28"/>
          <w:szCs w:val="28"/>
          <w:rtl/>
        </w:rPr>
        <w:t xml:space="preserve"> </w:t>
      </w:r>
      <w:r w:rsidRPr="00CE6D06">
        <w:rPr>
          <w:rFonts w:hint="cs"/>
          <w:color w:val="000000" w:themeColor="text1"/>
          <w:sz w:val="28"/>
          <w:szCs w:val="28"/>
          <w:rtl/>
        </w:rPr>
        <w:t>بعد التنسيق مع الجهات المعنية ،</w:t>
      </w:r>
      <w:r w:rsidRPr="00CE6D06">
        <w:rPr>
          <w:rFonts w:hint="cs"/>
          <w:color w:val="000000" w:themeColor="text1"/>
          <w:sz w:val="28"/>
          <w:szCs w:val="28"/>
          <w:rtl/>
        </w:rPr>
        <w:t xml:space="preserve"> ويكون لمجلس إدارة الشركة كافة السلطات والصلاحيات اللازمة للقيام الأعمال التي تقتضيها مهام الشركة وفقاً لنظامها الأساسي مع الالتزام بالسياسة النفطية العامة للمملكة . ويراعى في أعضاء مجلس الإدارة النزاهة والكفاءة والخبرة المناسبة.</w:t>
      </w:r>
      <w:r w:rsidRPr="00CE6D06">
        <w:rPr>
          <w:rFonts w:hint="cs"/>
          <w:color w:val="000000" w:themeColor="text1"/>
          <w:sz w:val="28"/>
          <w:szCs w:val="28"/>
          <w:rtl/>
        </w:rPr>
        <w:br/>
        <w:t>ويجب على عضو مجلس إدارة الشركة لدى نظر المجلس لأي موضوع يكون لهذا العضو فيه مصلحة شخصية مباشرة أو غير مباشرة أو أية مصالح مالية أخرى تتعارض مع مقتضيات منصبه أن يفصح عن ذلك كتابة بمجرد علمه بنظر المجلس لهذا الموضوع ولا يجوز له الحضور والاشتراك في مداولات المجلس بشأن ذلك الموضوع أو ا</w:t>
      </w:r>
      <w:r w:rsidRPr="00CE6D06">
        <w:rPr>
          <w:rFonts w:hint="cs"/>
          <w:color w:val="000000" w:themeColor="text1"/>
          <w:sz w:val="28"/>
          <w:szCs w:val="28"/>
          <w:rtl/>
        </w:rPr>
        <w:t>لتصويت عليه</w:t>
      </w:r>
      <w:r w:rsidRPr="00CE6D06">
        <w:rPr>
          <w:rFonts w:hint="cs"/>
          <w:color w:val="000000" w:themeColor="text1"/>
          <w:sz w:val="28"/>
          <w:szCs w:val="28"/>
          <w:rtl/>
        </w:rPr>
        <w:t>، وعند عدم الإفصاح يجب على مجلس الإدارة اتخاذ الإجراء المناسب وفقاً للوائح الداخلية التي يضعها.</w:t>
      </w:r>
    </w:p>
    <w:p w14:paraId="0BA30516" w14:textId="2A0766F6" w:rsidR="00711B70" w:rsidRPr="00CE6D06" w:rsidRDefault="00093D59" w:rsidP="00F94A63">
      <w:pPr>
        <w:spacing w:line="480" w:lineRule="auto"/>
        <w:ind w:left="720" w:hanging="720"/>
        <w:jc w:val="lowKashida"/>
        <w:rPr>
          <w:color w:val="000000" w:themeColor="text1"/>
          <w:rtl/>
        </w:rPr>
      </w:pPr>
      <w:r w:rsidRPr="00CE6D06">
        <w:rPr>
          <w:color w:val="000000" w:themeColor="text1"/>
          <w:sz w:val="14"/>
          <w:szCs w:val="14"/>
          <w:rtl/>
        </w:rPr>
        <w:t xml:space="preserve">       </w:t>
      </w:r>
      <w:r w:rsidRPr="00CE6D06">
        <w:rPr>
          <w:rFonts w:hint="cs"/>
          <w:color w:val="000000" w:themeColor="text1"/>
          <w:sz w:val="28"/>
          <w:szCs w:val="28"/>
          <w:rtl/>
        </w:rPr>
        <w:t>‌ب</w:t>
      </w:r>
      <w:r w:rsidR="00F94A63" w:rsidRPr="00CE6D06">
        <w:rPr>
          <w:rFonts w:hint="cs"/>
          <w:color w:val="000000" w:themeColor="text1"/>
          <w:sz w:val="28"/>
          <w:szCs w:val="28"/>
          <w:rtl/>
        </w:rPr>
        <w:t>)</w:t>
      </w:r>
      <w:r w:rsidRPr="00CE6D06">
        <w:rPr>
          <w:color w:val="000000" w:themeColor="text1"/>
          <w:sz w:val="14"/>
          <w:szCs w:val="14"/>
          <w:rtl/>
        </w:rPr>
        <w:t xml:space="preserve">       </w:t>
      </w:r>
      <w:r w:rsidRPr="00CE6D06">
        <w:rPr>
          <w:rFonts w:hint="cs"/>
          <w:color w:val="000000" w:themeColor="text1"/>
          <w:sz w:val="28"/>
          <w:szCs w:val="28"/>
          <w:rtl/>
        </w:rPr>
        <w:t xml:space="preserve">يصدر مجلس إدارة شركة نفط البحرين قراراً بتعيين رئيس للشركة من خارج مجلس الإدارة، بالتنسيق مع </w:t>
      </w:r>
      <w:r w:rsidR="001B3ED5" w:rsidRPr="00CE6D06">
        <w:rPr>
          <w:rFonts w:ascii="Arial" w:hAnsi="Arial" w:cs="Arial"/>
          <w:color w:val="000000" w:themeColor="text1"/>
          <w:sz w:val="28"/>
          <w:szCs w:val="28"/>
          <w:rtl/>
        </w:rPr>
        <w:t>الجهة التي يصدر بتحديدها مرسوم</w:t>
      </w:r>
      <w:r w:rsidR="00241575" w:rsidRPr="00CE6D06">
        <w:rPr>
          <w:rStyle w:val="FootnoteReference"/>
          <w:rFonts w:ascii="Arial" w:hAnsi="Arial" w:cs="Arial"/>
          <w:color w:val="000000" w:themeColor="text1"/>
          <w:sz w:val="28"/>
          <w:szCs w:val="28"/>
          <w:rtl/>
        </w:rPr>
        <w:footnoteReference w:id="5"/>
      </w:r>
      <w:r w:rsidRPr="00CE6D06">
        <w:rPr>
          <w:rFonts w:hint="cs"/>
          <w:color w:val="000000" w:themeColor="text1"/>
          <w:sz w:val="28"/>
          <w:szCs w:val="28"/>
          <w:rtl/>
        </w:rPr>
        <w:t xml:space="preserve">. </w:t>
      </w:r>
    </w:p>
    <w:p w14:paraId="0806DAF6" w14:textId="77777777" w:rsidR="00711B70" w:rsidRPr="00CE6D06" w:rsidRDefault="00093D59">
      <w:pPr>
        <w:spacing w:line="480" w:lineRule="auto"/>
        <w:rPr>
          <w:color w:val="000000" w:themeColor="text1"/>
          <w:rtl/>
        </w:rPr>
      </w:pPr>
      <w:r w:rsidRPr="00CE6D06">
        <w:rPr>
          <w:rFonts w:hint="cs"/>
          <w:color w:val="000000" w:themeColor="text1"/>
          <w:sz w:val="28"/>
          <w:szCs w:val="28"/>
          <w:rtl/>
        </w:rPr>
        <w:t> </w:t>
      </w:r>
    </w:p>
    <w:p w14:paraId="0A0ACB2A" w14:textId="77777777" w:rsidR="00711B70" w:rsidRPr="00CE6D06" w:rsidRDefault="00093D59">
      <w:pPr>
        <w:pStyle w:val="Heading1"/>
        <w:spacing w:line="480" w:lineRule="auto"/>
        <w:rPr>
          <w:rFonts w:eastAsia="Times New Roman"/>
          <w:color w:val="000000" w:themeColor="text1"/>
          <w:rtl/>
        </w:rPr>
      </w:pPr>
      <w:r w:rsidRPr="00CE6D06">
        <w:rPr>
          <w:rFonts w:eastAsia="Times New Roman" w:hint="cs"/>
          <w:color w:val="000000" w:themeColor="text1"/>
          <w:sz w:val="28"/>
          <w:szCs w:val="28"/>
          <w:rtl/>
        </w:rPr>
        <w:t>المادة الثالثة</w:t>
      </w:r>
    </w:p>
    <w:p w14:paraId="5B20BBC9" w14:textId="68A5AAE3" w:rsidR="00711B70" w:rsidRPr="00CE6D06" w:rsidRDefault="00093D59" w:rsidP="00F94A63">
      <w:pPr>
        <w:spacing w:line="480" w:lineRule="auto"/>
        <w:ind w:left="720" w:hanging="720"/>
        <w:jc w:val="lowKashida"/>
        <w:rPr>
          <w:color w:val="000000" w:themeColor="text1"/>
          <w:rtl/>
        </w:rPr>
      </w:pPr>
      <w:r w:rsidRPr="00CE6D06">
        <w:rPr>
          <w:color w:val="000000" w:themeColor="text1"/>
          <w:sz w:val="14"/>
          <w:szCs w:val="14"/>
          <w:rtl/>
        </w:rPr>
        <w:t xml:space="preserve">          </w:t>
      </w:r>
      <w:r w:rsidRPr="00CE6D06">
        <w:rPr>
          <w:rFonts w:hint="cs"/>
          <w:color w:val="000000" w:themeColor="text1"/>
          <w:sz w:val="28"/>
          <w:szCs w:val="28"/>
          <w:rtl/>
        </w:rPr>
        <w:t>‌أ</w:t>
      </w:r>
      <w:r w:rsidR="00F94A63" w:rsidRPr="00CE6D06">
        <w:rPr>
          <w:rFonts w:hint="cs"/>
          <w:color w:val="000000" w:themeColor="text1"/>
          <w:sz w:val="28"/>
          <w:szCs w:val="28"/>
          <w:rtl/>
        </w:rPr>
        <w:t>)</w:t>
      </w:r>
      <w:r w:rsidRPr="00CE6D06">
        <w:rPr>
          <w:color w:val="000000" w:themeColor="text1"/>
          <w:sz w:val="14"/>
          <w:szCs w:val="14"/>
          <w:rtl/>
        </w:rPr>
        <w:t xml:space="preserve">          </w:t>
      </w:r>
      <w:r w:rsidRPr="00CE6D06">
        <w:rPr>
          <w:rFonts w:hint="cs"/>
          <w:color w:val="000000" w:themeColor="text1"/>
          <w:sz w:val="28"/>
          <w:szCs w:val="28"/>
          <w:rtl/>
        </w:rPr>
        <w:t xml:space="preserve">يجب على مجلس إدارة شركة نفط البحرين أن يعرض على الوزير المختص بشؤون النفط والغاز، الذي يصدر بتسميته مرسوم ، تقارير دورية عن نشاطها وسير العمل بها ، وتحديد معوقات الأداء وما تم اعتماده من حلول لتفاديها ، وللوزير أن يطلب من الشركة تزويده بأية </w:t>
      </w:r>
      <w:proofErr w:type="gramStart"/>
      <w:r w:rsidRPr="00CE6D06">
        <w:rPr>
          <w:rFonts w:hint="cs"/>
          <w:color w:val="000000" w:themeColor="text1"/>
          <w:sz w:val="28"/>
          <w:szCs w:val="28"/>
          <w:rtl/>
        </w:rPr>
        <w:t>بيانات</w:t>
      </w:r>
      <w:proofErr w:type="gramEnd"/>
      <w:r w:rsidRPr="00CE6D06">
        <w:rPr>
          <w:rFonts w:hint="cs"/>
          <w:color w:val="000000" w:themeColor="text1"/>
          <w:sz w:val="28"/>
          <w:szCs w:val="28"/>
          <w:rtl/>
        </w:rPr>
        <w:t xml:space="preserve"> أو معلومات أو قرارات أو محاضر أو سجلات أو تقارير لازمة لقيامه بالرقابة على أعمال الشركة.</w:t>
      </w:r>
    </w:p>
    <w:p w14:paraId="11D0EA56" w14:textId="425C3755" w:rsidR="00711B70" w:rsidRPr="00CE6D06" w:rsidRDefault="00093D59" w:rsidP="00F94A63">
      <w:pPr>
        <w:spacing w:line="480" w:lineRule="auto"/>
        <w:ind w:left="720" w:hanging="720"/>
        <w:jc w:val="lowKashida"/>
        <w:rPr>
          <w:color w:val="000000" w:themeColor="text1"/>
          <w:rtl/>
        </w:rPr>
      </w:pPr>
      <w:r w:rsidRPr="00CE6D06">
        <w:rPr>
          <w:color w:val="000000" w:themeColor="text1"/>
          <w:sz w:val="14"/>
          <w:szCs w:val="14"/>
          <w:rtl/>
        </w:rPr>
        <w:t xml:space="preserve">       </w:t>
      </w:r>
      <w:r w:rsidRPr="00CE6D06">
        <w:rPr>
          <w:rFonts w:hint="cs"/>
          <w:color w:val="000000" w:themeColor="text1"/>
          <w:sz w:val="28"/>
          <w:szCs w:val="28"/>
          <w:rtl/>
        </w:rPr>
        <w:t>‌ب</w:t>
      </w:r>
      <w:r w:rsidR="00F94A63" w:rsidRPr="00CE6D06">
        <w:rPr>
          <w:rFonts w:hint="cs"/>
          <w:color w:val="000000" w:themeColor="text1"/>
          <w:sz w:val="28"/>
          <w:szCs w:val="28"/>
          <w:rtl/>
        </w:rPr>
        <w:t>)</w:t>
      </w:r>
      <w:r w:rsidRPr="00CE6D06">
        <w:rPr>
          <w:color w:val="000000" w:themeColor="text1"/>
          <w:sz w:val="14"/>
          <w:szCs w:val="14"/>
          <w:rtl/>
        </w:rPr>
        <w:t xml:space="preserve">       </w:t>
      </w:r>
      <w:r w:rsidRPr="00CE6D06">
        <w:rPr>
          <w:rFonts w:hint="cs"/>
          <w:color w:val="000000" w:themeColor="text1"/>
          <w:sz w:val="28"/>
          <w:szCs w:val="28"/>
          <w:rtl/>
        </w:rPr>
        <w:t xml:space="preserve">مع عدم الإخلال بما تتمتع به شركة نفط البحرين من استقلالية في مباشرة أعمالها طبقاً لنظامها </w:t>
      </w:r>
      <w:r w:rsidR="00241575" w:rsidRPr="00CE6D06">
        <w:rPr>
          <w:rFonts w:hint="cs"/>
          <w:color w:val="000000" w:themeColor="text1"/>
          <w:sz w:val="28"/>
          <w:szCs w:val="28"/>
          <w:rtl/>
        </w:rPr>
        <w:t>الأساسي،</w:t>
      </w:r>
      <w:r w:rsidRPr="00CE6D06">
        <w:rPr>
          <w:rFonts w:hint="cs"/>
          <w:color w:val="000000" w:themeColor="text1"/>
          <w:sz w:val="28"/>
          <w:szCs w:val="28"/>
          <w:rtl/>
        </w:rPr>
        <w:t xml:space="preserve"> يتولى الوزير متابعة مدى التزام الشركة بأحكام القانون ونظامها الأساسي والسياسة النفطية العامة للمملكة ومدى قيامها بمباشرة أعمالها وبتحقيق أغراضها بكفاءة وفعالية.</w:t>
      </w:r>
    </w:p>
    <w:p w14:paraId="16BA9054" w14:textId="7513B009" w:rsidR="00711B70" w:rsidRPr="00CE6D06" w:rsidRDefault="00093D59" w:rsidP="00F94A63">
      <w:pPr>
        <w:spacing w:line="480" w:lineRule="auto"/>
        <w:ind w:left="720" w:hanging="720"/>
        <w:jc w:val="lowKashida"/>
        <w:rPr>
          <w:color w:val="000000" w:themeColor="text1"/>
          <w:rtl/>
        </w:rPr>
      </w:pPr>
      <w:r w:rsidRPr="00CE6D06">
        <w:rPr>
          <w:color w:val="000000" w:themeColor="text1"/>
          <w:sz w:val="14"/>
          <w:szCs w:val="14"/>
          <w:rtl/>
        </w:rPr>
        <w:t xml:space="preserve">        </w:t>
      </w:r>
      <w:r w:rsidRPr="00CE6D06">
        <w:rPr>
          <w:rFonts w:hint="cs"/>
          <w:color w:val="000000" w:themeColor="text1"/>
          <w:sz w:val="28"/>
          <w:szCs w:val="28"/>
          <w:rtl/>
        </w:rPr>
        <w:t>‌ج</w:t>
      </w:r>
      <w:r w:rsidR="00F94A63" w:rsidRPr="00CE6D06">
        <w:rPr>
          <w:rFonts w:hint="cs"/>
          <w:color w:val="000000" w:themeColor="text1"/>
          <w:sz w:val="28"/>
          <w:szCs w:val="28"/>
          <w:rtl/>
        </w:rPr>
        <w:t>)</w:t>
      </w:r>
      <w:r w:rsidRPr="00CE6D06">
        <w:rPr>
          <w:color w:val="000000" w:themeColor="text1"/>
          <w:sz w:val="14"/>
          <w:szCs w:val="14"/>
          <w:rtl/>
        </w:rPr>
        <w:t xml:space="preserve">        </w:t>
      </w:r>
      <w:r w:rsidRPr="00CE6D06">
        <w:rPr>
          <w:rFonts w:hint="cs"/>
          <w:color w:val="000000" w:themeColor="text1"/>
          <w:sz w:val="28"/>
          <w:szCs w:val="28"/>
          <w:rtl/>
        </w:rPr>
        <w:t>إذا تبين للوزير وجود ما يتعارض من أعمال شركة ن</w:t>
      </w:r>
      <w:r w:rsidR="00F94A63" w:rsidRPr="00CE6D06">
        <w:rPr>
          <w:rFonts w:hint="cs"/>
          <w:color w:val="000000" w:themeColor="text1"/>
          <w:sz w:val="28"/>
          <w:szCs w:val="28"/>
          <w:rtl/>
        </w:rPr>
        <w:t>ف</w:t>
      </w:r>
      <w:r w:rsidRPr="00CE6D06">
        <w:rPr>
          <w:rFonts w:hint="cs"/>
          <w:color w:val="000000" w:themeColor="text1"/>
          <w:sz w:val="28"/>
          <w:szCs w:val="28"/>
          <w:rtl/>
        </w:rPr>
        <w:t>ط البحرين مع أحكام القانون أو نظامها الأساسي أو السياسة النفطية العامة للمملكة ، أو عدم مباشرة أعمالها ، أو تحقيق أغراضها بكفاءة وفعالية ، كان عليه الاعتراض على ذلك وإخطار مجلس إدارة الشركة بما يراه في هذا الشأن ، فإذا أصر مجلس الإدارة على رأيه أعاد عرض الأمر على الوزير خلال سبعة أيام مشفوعاً بمبررات المجلس ، وعلى الوزير إصدار قرار ملزم بشأن الأمر محل الخلاف خلال (15) يوماً من تاريخ إعادة عرض الأمر عليه.</w:t>
      </w:r>
    </w:p>
    <w:p w14:paraId="0E3FAB01" w14:textId="5224E46A" w:rsidR="00711B70" w:rsidRPr="00CE6D06" w:rsidRDefault="00093D59" w:rsidP="00F94A63">
      <w:pPr>
        <w:spacing w:line="480" w:lineRule="auto"/>
        <w:ind w:left="720" w:hanging="720"/>
        <w:jc w:val="lowKashida"/>
        <w:rPr>
          <w:color w:val="000000" w:themeColor="text1"/>
          <w:rtl/>
        </w:rPr>
      </w:pPr>
      <w:r w:rsidRPr="00CE6D06">
        <w:rPr>
          <w:color w:val="000000" w:themeColor="text1"/>
          <w:sz w:val="14"/>
          <w:szCs w:val="14"/>
          <w:rtl/>
        </w:rPr>
        <w:t xml:space="preserve">         </w:t>
      </w:r>
      <w:r w:rsidRPr="00CE6D06">
        <w:rPr>
          <w:rFonts w:hint="cs"/>
          <w:color w:val="000000" w:themeColor="text1"/>
          <w:sz w:val="28"/>
          <w:szCs w:val="28"/>
          <w:rtl/>
        </w:rPr>
        <w:t>‌د</w:t>
      </w:r>
      <w:r w:rsidR="00F94A63" w:rsidRPr="00CE6D06">
        <w:rPr>
          <w:rFonts w:hint="cs"/>
          <w:color w:val="000000" w:themeColor="text1"/>
          <w:sz w:val="28"/>
          <w:szCs w:val="28"/>
          <w:rtl/>
        </w:rPr>
        <w:t>)</w:t>
      </w:r>
      <w:r w:rsidRPr="00CE6D06">
        <w:rPr>
          <w:color w:val="000000" w:themeColor="text1"/>
          <w:sz w:val="14"/>
          <w:szCs w:val="14"/>
          <w:rtl/>
        </w:rPr>
        <w:t xml:space="preserve">        </w:t>
      </w:r>
      <w:r w:rsidRPr="00CE6D06">
        <w:rPr>
          <w:rFonts w:hint="cs"/>
          <w:color w:val="000000" w:themeColor="text1"/>
          <w:sz w:val="28"/>
          <w:szCs w:val="28"/>
          <w:rtl/>
        </w:rPr>
        <w:t>يخضع الوزير في مباشرة رقابته على أعمال شركة نفط البحرين للمساءلة أمام مجلس النواب.</w:t>
      </w:r>
    </w:p>
    <w:p w14:paraId="3B8FF997" w14:textId="77777777" w:rsidR="00711B70" w:rsidRPr="00CE6D06" w:rsidRDefault="00093D59">
      <w:pPr>
        <w:spacing w:line="480" w:lineRule="auto"/>
        <w:rPr>
          <w:color w:val="000000" w:themeColor="text1"/>
          <w:rtl/>
        </w:rPr>
      </w:pPr>
      <w:r w:rsidRPr="00CE6D06">
        <w:rPr>
          <w:rFonts w:hint="cs"/>
          <w:color w:val="000000" w:themeColor="text1"/>
          <w:sz w:val="28"/>
          <w:szCs w:val="28"/>
          <w:rtl/>
        </w:rPr>
        <w:t> </w:t>
      </w:r>
    </w:p>
    <w:p w14:paraId="1D66E07D" w14:textId="77777777" w:rsidR="00711B70" w:rsidRPr="00CE6D06" w:rsidRDefault="00093D59">
      <w:pPr>
        <w:pStyle w:val="Heading1"/>
        <w:spacing w:line="480" w:lineRule="auto"/>
        <w:rPr>
          <w:rFonts w:eastAsia="Times New Roman"/>
          <w:color w:val="000000" w:themeColor="text1"/>
          <w:rtl/>
        </w:rPr>
      </w:pPr>
      <w:r w:rsidRPr="00CE6D06">
        <w:rPr>
          <w:rFonts w:eastAsia="Times New Roman" w:hint="cs"/>
          <w:color w:val="000000" w:themeColor="text1"/>
          <w:sz w:val="28"/>
          <w:szCs w:val="28"/>
          <w:rtl/>
        </w:rPr>
        <w:t>المادة الرابعة</w:t>
      </w:r>
    </w:p>
    <w:p w14:paraId="0EBECB98" w14:textId="77777777" w:rsidR="00711B70" w:rsidRPr="00CE6D06" w:rsidRDefault="00093D59">
      <w:pPr>
        <w:spacing w:line="480" w:lineRule="auto"/>
        <w:rPr>
          <w:color w:val="000000" w:themeColor="text1"/>
          <w:rtl/>
        </w:rPr>
      </w:pPr>
      <w:r w:rsidRPr="00CE6D06">
        <w:rPr>
          <w:rFonts w:hint="cs"/>
          <w:color w:val="000000" w:themeColor="text1"/>
          <w:sz w:val="28"/>
          <w:szCs w:val="28"/>
          <w:rtl/>
        </w:rPr>
        <w:t>يلغى كل نص يتعارض مع أحكام هذا القانون.</w:t>
      </w:r>
    </w:p>
    <w:p w14:paraId="489531D4" w14:textId="77777777" w:rsidR="00711B70" w:rsidRPr="00CE6D06" w:rsidRDefault="00093D59">
      <w:pPr>
        <w:spacing w:line="480" w:lineRule="auto"/>
        <w:rPr>
          <w:color w:val="000000" w:themeColor="text1"/>
          <w:rtl/>
        </w:rPr>
      </w:pPr>
      <w:r w:rsidRPr="00CE6D06">
        <w:rPr>
          <w:rFonts w:hint="cs"/>
          <w:color w:val="000000" w:themeColor="text1"/>
          <w:sz w:val="28"/>
          <w:szCs w:val="28"/>
          <w:rtl/>
        </w:rPr>
        <w:t> </w:t>
      </w:r>
    </w:p>
    <w:p w14:paraId="1EA560EB" w14:textId="77777777" w:rsidR="00711B70" w:rsidRPr="00CE6D06" w:rsidRDefault="00093D59">
      <w:pPr>
        <w:pStyle w:val="Heading1"/>
        <w:spacing w:line="480" w:lineRule="auto"/>
        <w:rPr>
          <w:rFonts w:eastAsia="Times New Roman"/>
          <w:color w:val="000000" w:themeColor="text1"/>
          <w:rtl/>
        </w:rPr>
      </w:pPr>
      <w:r w:rsidRPr="00CE6D06">
        <w:rPr>
          <w:rFonts w:eastAsia="Times New Roman" w:hint="cs"/>
          <w:color w:val="000000" w:themeColor="text1"/>
          <w:sz w:val="28"/>
          <w:szCs w:val="28"/>
          <w:rtl/>
        </w:rPr>
        <w:t>المادة الخامسة</w:t>
      </w:r>
    </w:p>
    <w:p w14:paraId="4983D51D" w14:textId="77777777" w:rsidR="00711B70" w:rsidRPr="00CE6D06" w:rsidRDefault="00093D59">
      <w:pPr>
        <w:spacing w:line="480" w:lineRule="auto"/>
        <w:rPr>
          <w:color w:val="000000" w:themeColor="text1"/>
          <w:rtl/>
        </w:rPr>
      </w:pPr>
      <w:r w:rsidRPr="00CE6D06">
        <w:rPr>
          <w:rFonts w:hint="cs"/>
          <w:color w:val="000000" w:themeColor="text1"/>
          <w:sz w:val="28"/>
          <w:szCs w:val="28"/>
          <w:rtl/>
        </w:rPr>
        <w:t>على رئيس مجلس الوزراء والوزراء - كل فيما يخصه - تنفيذ أحكام هذا القانون ، ويعمل به من اليوم التالي لتاريخ نشره في الجريدة الرسمية.</w:t>
      </w:r>
    </w:p>
    <w:p w14:paraId="619386C9" w14:textId="77777777" w:rsidR="00711B70" w:rsidRPr="00CE6D06" w:rsidRDefault="00093D59">
      <w:pPr>
        <w:spacing w:line="480" w:lineRule="auto"/>
        <w:rPr>
          <w:color w:val="000000" w:themeColor="text1"/>
          <w:rtl/>
        </w:rPr>
      </w:pPr>
      <w:r w:rsidRPr="00CE6D06">
        <w:rPr>
          <w:rFonts w:hint="cs"/>
          <w:color w:val="000000" w:themeColor="text1"/>
          <w:sz w:val="28"/>
          <w:szCs w:val="28"/>
          <w:rtl/>
        </w:rPr>
        <w:t> </w:t>
      </w:r>
    </w:p>
    <w:p w14:paraId="73A6B145" w14:textId="77777777" w:rsidR="00711B70" w:rsidRPr="00CE6D06" w:rsidRDefault="00093D59" w:rsidP="00F94A63">
      <w:pPr>
        <w:spacing w:line="480" w:lineRule="auto"/>
        <w:ind w:left="5040"/>
        <w:jc w:val="center"/>
        <w:rPr>
          <w:color w:val="000000" w:themeColor="text1"/>
          <w:rtl/>
        </w:rPr>
      </w:pPr>
      <w:r w:rsidRPr="00CE6D06">
        <w:rPr>
          <w:rFonts w:hint="cs"/>
          <w:b/>
          <w:bCs/>
          <w:color w:val="000000" w:themeColor="text1"/>
          <w:sz w:val="28"/>
          <w:szCs w:val="28"/>
          <w:rtl/>
        </w:rPr>
        <w:t>ملك مملكة البحرين</w:t>
      </w:r>
    </w:p>
    <w:p w14:paraId="5CEBA59E" w14:textId="77777777" w:rsidR="00711B70" w:rsidRPr="00CE6D06" w:rsidRDefault="00093D59" w:rsidP="00F94A63">
      <w:pPr>
        <w:spacing w:line="480" w:lineRule="auto"/>
        <w:ind w:left="5040"/>
        <w:jc w:val="center"/>
        <w:rPr>
          <w:color w:val="000000" w:themeColor="text1"/>
          <w:rtl/>
        </w:rPr>
      </w:pPr>
      <w:r w:rsidRPr="00CE6D06">
        <w:rPr>
          <w:rFonts w:hint="cs"/>
          <w:b/>
          <w:bCs/>
          <w:color w:val="000000" w:themeColor="text1"/>
          <w:sz w:val="28"/>
          <w:szCs w:val="28"/>
          <w:rtl/>
        </w:rPr>
        <w:t>حمد بن عيسى آل خليفة</w:t>
      </w:r>
    </w:p>
    <w:p w14:paraId="573D7A7C" w14:textId="77777777" w:rsidR="00711B70" w:rsidRPr="00CE6D06" w:rsidRDefault="00093D59">
      <w:pPr>
        <w:spacing w:line="480" w:lineRule="auto"/>
        <w:rPr>
          <w:color w:val="000000" w:themeColor="text1"/>
          <w:rtl/>
        </w:rPr>
      </w:pPr>
      <w:r w:rsidRPr="00CE6D06">
        <w:rPr>
          <w:rFonts w:hint="cs"/>
          <w:color w:val="000000" w:themeColor="text1"/>
          <w:sz w:val="28"/>
          <w:szCs w:val="28"/>
          <w:rtl/>
        </w:rPr>
        <w:t> </w:t>
      </w:r>
    </w:p>
    <w:p w14:paraId="6C90C9F3" w14:textId="77777777" w:rsidR="00711B70" w:rsidRPr="00CE6D06" w:rsidRDefault="00093D59" w:rsidP="00F94A63">
      <w:pPr>
        <w:spacing w:line="276" w:lineRule="auto"/>
        <w:jc w:val="lowKashida"/>
        <w:rPr>
          <w:b/>
          <w:bCs/>
          <w:color w:val="000000" w:themeColor="text1"/>
          <w:rtl/>
        </w:rPr>
      </w:pPr>
      <w:r w:rsidRPr="00CE6D06">
        <w:rPr>
          <w:rFonts w:hint="cs"/>
          <w:b/>
          <w:bCs/>
          <w:color w:val="000000" w:themeColor="text1"/>
          <w:sz w:val="28"/>
          <w:szCs w:val="28"/>
          <w:rtl/>
        </w:rPr>
        <w:t>صدر في قصر الرفاع:</w:t>
      </w:r>
    </w:p>
    <w:p w14:paraId="09A0667E" w14:textId="77777777" w:rsidR="00711B70" w:rsidRPr="00CE6D06" w:rsidRDefault="00093D59" w:rsidP="00F94A63">
      <w:pPr>
        <w:spacing w:line="276" w:lineRule="auto"/>
        <w:jc w:val="lowKashida"/>
        <w:rPr>
          <w:b/>
          <w:bCs/>
          <w:color w:val="000000" w:themeColor="text1"/>
          <w:rtl/>
        </w:rPr>
      </w:pPr>
      <w:r w:rsidRPr="00CE6D06">
        <w:rPr>
          <w:rFonts w:hint="cs"/>
          <w:b/>
          <w:bCs/>
          <w:color w:val="000000" w:themeColor="text1"/>
          <w:sz w:val="28"/>
          <w:szCs w:val="28"/>
          <w:rtl/>
        </w:rPr>
        <w:t>بتاريخ: 1 جمادى الأولى 1427هـ</w:t>
      </w:r>
    </w:p>
    <w:p w14:paraId="6988A2F2" w14:textId="77777777" w:rsidR="00711B70" w:rsidRPr="00CE6D06" w:rsidRDefault="00093D59" w:rsidP="00F94A63">
      <w:pPr>
        <w:spacing w:line="276" w:lineRule="auto"/>
        <w:jc w:val="lowKashida"/>
        <w:rPr>
          <w:b/>
          <w:bCs/>
          <w:color w:val="000000" w:themeColor="text1"/>
          <w:rtl/>
        </w:rPr>
      </w:pPr>
      <w:r w:rsidRPr="00CE6D06">
        <w:rPr>
          <w:rFonts w:hint="cs"/>
          <w:b/>
          <w:bCs/>
          <w:color w:val="000000" w:themeColor="text1"/>
          <w:sz w:val="28"/>
          <w:szCs w:val="28"/>
          <w:rtl/>
        </w:rPr>
        <w:t>الموافق: 28 مايو 2006م</w:t>
      </w:r>
    </w:p>
    <w:p w14:paraId="39E02071" w14:textId="77777777" w:rsidR="00F86004" w:rsidRPr="00CE6D06" w:rsidRDefault="00093D59">
      <w:pPr>
        <w:spacing w:line="480" w:lineRule="auto"/>
        <w:rPr>
          <w:color w:val="000000" w:themeColor="text1"/>
          <w:rtl/>
        </w:rPr>
      </w:pPr>
      <w:r w:rsidRPr="00CE6D06">
        <w:rPr>
          <w:rFonts w:hint="cs"/>
          <w:color w:val="000000" w:themeColor="text1"/>
          <w:sz w:val="28"/>
          <w:szCs w:val="28"/>
          <w:rtl/>
        </w:rPr>
        <w:t> </w:t>
      </w:r>
    </w:p>
    <w:sectPr w:rsidR="00F86004" w:rsidRPr="00CE6D06">
      <w:footerReference w:type="default" r:id="rId7"/>
      <w:pgSz w:w="11906" w:h="16838"/>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1E40" w14:textId="77777777" w:rsidR="00093D59" w:rsidRDefault="00093D59" w:rsidP="00AE15CC">
      <w:r>
        <w:separator/>
      </w:r>
    </w:p>
  </w:endnote>
  <w:endnote w:type="continuationSeparator" w:id="0">
    <w:p w14:paraId="473E1A1D" w14:textId="77777777" w:rsidR="00093D59" w:rsidRDefault="00093D59" w:rsidP="00AE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9771" w14:textId="77777777" w:rsidR="001377D9" w:rsidRDefault="00137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BB63" w14:textId="77777777" w:rsidR="00093D59" w:rsidRDefault="00093D59" w:rsidP="00AE15CC">
      <w:r>
        <w:separator/>
      </w:r>
    </w:p>
  </w:footnote>
  <w:footnote w:type="continuationSeparator" w:id="0">
    <w:p w14:paraId="491FDC83" w14:textId="77777777" w:rsidR="00093D59" w:rsidRDefault="00093D59" w:rsidP="00AE15CC">
      <w:r>
        <w:continuationSeparator/>
      </w:r>
    </w:p>
  </w:footnote>
  <w:footnote w:id="1">
    <w:p w14:paraId="0A51B28D" w14:textId="40EE76E0" w:rsidR="00EC3C50" w:rsidRPr="00EC3C50" w:rsidRDefault="001377D9" w:rsidP="00EC3C50">
      <w:pPr>
        <w:pStyle w:val="FootnoteText"/>
        <w:jc w:val="both"/>
        <w:rPr>
          <w:rFonts w:asciiTheme="minorHAnsi" w:hAnsiTheme="minorHAnsi" w:cstheme="minorHAnsi"/>
          <w:b/>
          <w:bCs/>
        </w:rPr>
      </w:pPr>
      <w:r w:rsidRPr="00EC3C50">
        <w:rPr>
          <w:rStyle w:val="FootnoteReference"/>
          <w:rFonts w:asciiTheme="minorHAnsi" w:hAnsiTheme="minorHAnsi" w:cstheme="minorHAnsi"/>
          <w:b/>
          <w:bCs/>
        </w:rPr>
        <w:footnoteRef/>
      </w:r>
      <w:r w:rsidRPr="00EC3C50">
        <w:rPr>
          <w:rFonts w:asciiTheme="minorHAnsi" w:hAnsiTheme="minorHAnsi" w:cstheme="minorHAnsi"/>
          <w:b/>
          <w:bCs/>
          <w:rtl/>
        </w:rPr>
        <w:t xml:space="preserve"> </w:t>
      </w:r>
      <w:r w:rsidR="001668C1" w:rsidRPr="00EC3C50">
        <w:rPr>
          <w:rFonts w:asciiTheme="minorHAnsi" w:hAnsiTheme="minorHAnsi" w:cstheme="minorHAnsi"/>
          <w:b/>
          <w:bCs/>
          <w:rtl/>
        </w:rPr>
        <w:t>يُعدَّل مسمى القانون رقم (10) لسنة 2006 بشأن مهام واختصاصات الهيئة الوطنية للنِّفْط والغاز المنشأة بالمرسوم رقم (63) لسنة 2005 وتعديل بعض أحكام المرسوم بقانون رقم (42) لسنة 1999 بإنشاء شركة نفط البحرين، ليكون “قانون رقم (10) لسنة 2006 بشأن بعض مهام واختصاصات الجهات المختصة بالنِّفْط والغاز وتعديل بعض أحكام المرسوم بقانون رقم (42) لسنة 1999 بإنشاء شركة نِفْط البحرين</w:t>
      </w:r>
      <w:r w:rsidR="00EC3C50" w:rsidRPr="00EC3C50">
        <w:rPr>
          <w:rFonts w:asciiTheme="minorHAnsi" w:hAnsiTheme="minorHAnsi" w:cstheme="minorHAnsi"/>
          <w:b/>
          <w:bCs/>
          <w:rtl/>
        </w:rPr>
        <w:t>.</w:t>
      </w:r>
    </w:p>
  </w:footnote>
  <w:footnote w:id="2">
    <w:p w14:paraId="5ADB0B64" w14:textId="426D8C66" w:rsidR="0069705B" w:rsidRPr="00EC3C50" w:rsidRDefault="0069705B" w:rsidP="00EC3C50">
      <w:pPr>
        <w:pStyle w:val="FootnoteText"/>
        <w:jc w:val="both"/>
        <w:rPr>
          <w:rFonts w:asciiTheme="minorHAnsi" w:hAnsiTheme="minorHAnsi" w:cstheme="minorHAnsi"/>
          <w:b/>
          <w:bCs/>
        </w:rPr>
      </w:pPr>
      <w:r w:rsidRPr="00EC3C50">
        <w:rPr>
          <w:rStyle w:val="FootnoteReference"/>
          <w:rFonts w:asciiTheme="minorHAnsi" w:hAnsiTheme="minorHAnsi" w:cstheme="minorHAnsi"/>
          <w:b/>
          <w:bCs/>
        </w:rPr>
        <w:footnoteRef/>
      </w:r>
      <w:r w:rsidRPr="00EC3C50">
        <w:rPr>
          <w:rFonts w:asciiTheme="minorHAnsi" w:hAnsiTheme="minorHAnsi" w:cstheme="minorHAnsi"/>
          <w:b/>
          <w:bCs/>
          <w:rtl/>
        </w:rPr>
        <w:t xml:space="preserve"> </w:t>
      </w:r>
      <w:r w:rsidR="00EC3C50" w:rsidRPr="00EC3C50">
        <w:rPr>
          <w:rFonts w:asciiTheme="minorHAnsi" w:hAnsiTheme="minorHAnsi" w:cstheme="minorHAnsi"/>
          <w:b/>
          <w:bCs/>
          <w:rtl/>
        </w:rPr>
        <w:t>تُلغى عبارة "والمادة الثانية من المرسوم رقم (78) لسنة 2005 بتشكيل مجلس إدارة الهيئة الوطنية للنِّفْط والغاز وتحديد أغراضها واختصاصاتها" الواردة في المادة الأولى من القانون رقم (10) لسنة 2006 بشأن مهام واختصاصات الهيئة الوطنية للنِّفْط والغاز المنشأة بالمرسوم رقم (63) لسنة 2005 وتعديل بعض أحكام المرسوم بقانون رقم (42) لسنة 1999 بإنشاء شركة نِفْط البحرين.</w:t>
      </w:r>
    </w:p>
  </w:footnote>
  <w:footnote w:id="3">
    <w:p w14:paraId="2A5A0E5F" w14:textId="43FD7DCD" w:rsidR="0069705B" w:rsidRPr="00F94A63" w:rsidRDefault="0069705B" w:rsidP="00F94A63">
      <w:pPr>
        <w:pStyle w:val="FootnoteText"/>
        <w:jc w:val="both"/>
        <w:rPr>
          <w:rFonts w:asciiTheme="minorHAnsi" w:hAnsiTheme="minorHAnsi" w:cstheme="minorHAnsi"/>
          <w:b/>
          <w:bCs/>
        </w:rPr>
      </w:pPr>
      <w:r w:rsidRPr="00EC3C50">
        <w:rPr>
          <w:rStyle w:val="FootnoteReference"/>
          <w:rFonts w:asciiTheme="minorHAnsi" w:hAnsiTheme="minorHAnsi" w:cstheme="minorHAnsi"/>
          <w:b/>
          <w:bCs/>
        </w:rPr>
        <w:footnoteRef/>
      </w:r>
      <w:r w:rsidRPr="00EC3C50">
        <w:rPr>
          <w:rFonts w:asciiTheme="minorHAnsi" w:hAnsiTheme="minorHAnsi" w:cstheme="minorHAnsi"/>
          <w:b/>
          <w:bCs/>
          <w:rtl/>
        </w:rPr>
        <w:t xml:space="preserve"> </w:t>
      </w:r>
      <w:r w:rsidR="00241575" w:rsidRPr="00241575">
        <w:rPr>
          <w:rFonts w:asciiTheme="minorHAnsi" w:hAnsiTheme="minorHAnsi" w:cstheme="minorHAnsi"/>
          <w:b/>
          <w:bCs/>
          <w:rtl/>
        </w:rPr>
        <w:t>تحُل عبارة "الجهة التي يصدر بتحديدها مرسوم" محل عبارة "الهيئة الوطنية للنِّفْط والغاز" الواردة في المادة الأولى، وعبارة "الجهة التي يصدر بتحديدها مرسوم" محل عبارتي "مجلس إدارة الهيئة الوطنية للنِّفْط والغاز" و"الهيئة الوطنية للنِّفْط والغاز" الواردتين في المادة الثانية من القانون رقم (10) لسنة 2006 بشأن مهام واختصاصات الهيئة الوطنية للنِّفْط والغاز المنشأة بالمرسوم رقم (63) لسنة 2005 وتعديل بعض أحكام المرسوم بقانون رقم (42) لسنة 1999 بإنشاء شركة نِفْط البحرين.</w:t>
      </w:r>
    </w:p>
  </w:footnote>
  <w:footnote w:id="4">
    <w:p w14:paraId="382FCE9C" w14:textId="6ED00B6B" w:rsidR="0069705B" w:rsidRPr="00F94A63" w:rsidRDefault="0069705B" w:rsidP="00F94A63">
      <w:pPr>
        <w:pStyle w:val="FootnoteText"/>
        <w:jc w:val="both"/>
        <w:rPr>
          <w:rFonts w:asciiTheme="minorHAnsi" w:hAnsiTheme="minorHAnsi" w:cstheme="minorHAnsi"/>
          <w:b/>
          <w:bCs/>
        </w:rPr>
      </w:pPr>
      <w:r>
        <w:rPr>
          <w:rStyle w:val="FootnoteReference"/>
        </w:rPr>
        <w:footnoteRef/>
      </w:r>
      <w:r>
        <w:rPr>
          <w:rtl/>
        </w:rPr>
        <w:t xml:space="preserve"> </w:t>
      </w:r>
      <w:r w:rsidR="00EC3C50" w:rsidRPr="00241575">
        <w:rPr>
          <w:rFonts w:asciiTheme="minorHAnsi" w:hAnsiTheme="minorHAnsi" w:cstheme="minorHAnsi"/>
          <w:b/>
          <w:bCs/>
          <w:rtl/>
        </w:rPr>
        <w:t>تحُل عبارة "الجهة التي يصدر بتحديدها مرسوم" محل عبارة "الهيئة الوطنية للنِّفْط والغاز" الواردة في المادة الأولى، وعبارة "الجهة التي يصدر بتحديدها مرسوم" محل عبارتي "مجلس إدارة الهيئة الوطنية للنِّفْط والغاز" و"الهيئة الوطنية للنِّفْط والغاز" الواردتين في المادة الثانية من القانون رقم (10) لسنة 2006 بشأن مهام واختصاصات الهيئة الوطنية للنِّفْط والغاز المنشأة بالمرسوم رقم (63) لسنة 2005 وتعديل بعض أحكام المرسوم بقانون رقم (42) لسنة 1999 بإنشاء شركة نِفْط البحرين.</w:t>
      </w:r>
    </w:p>
  </w:footnote>
  <w:footnote w:id="5">
    <w:p w14:paraId="38D818F8" w14:textId="77777777" w:rsidR="00241575" w:rsidRPr="00241575" w:rsidRDefault="00241575" w:rsidP="00241575">
      <w:pPr>
        <w:pStyle w:val="FootnoteText"/>
        <w:jc w:val="both"/>
        <w:rPr>
          <w:rFonts w:asciiTheme="minorHAnsi" w:hAnsiTheme="minorHAnsi" w:cstheme="minorHAnsi"/>
          <w:b/>
          <w:bCs/>
        </w:rPr>
      </w:pPr>
      <w:r>
        <w:rPr>
          <w:rStyle w:val="FootnoteReference"/>
        </w:rPr>
        <w:footnoteRef/>
      </w:r>
      <w:r>
        <w:rPr>
          <w:rtl/>
        </w:rPr>
        <w:t xml:space="preserve"> </w:t>
      </w:r>
      <w:r w:rsidRPr="00241575">
        <w:rPr>
          <w:rFonts w:asciiTheme="minorHAnsi" w:hAnsiTheme="minorHAnsi" w:cstheme="minorHAnsi"/>
          <w:b/>
          <w:bCs/>
          <w:rtl/>
        </w:rPr>
        <w:t>تحُل عبارة "الجهة التي يصدر بتحديدها مرسوم" محل عبارة "الهيئة الوطنية للنِّفْط والغاز" الواردة في المادة الأولى، وعبارة "الجهة التي يصدر بتحديدها مرسوم" محل عبارتي "مجلس إدارة الهيئة الوطنية للنِّفْط والغاز" و"الهيئة الوطنية للنِّفْط والغاز" الواردتين في المادة الثانية من القانون رقم (10) لسنة 2006 بشأن مهام واختصاصات الهيئة الوطنية للنِّفْط والغاز المنشأة بالمرسوم رقم (63) لسنة 2005 وتعديل بعض أحكام المرسوم بقانون رقم (42) لسنة 1999 بإنشاء شركة نِفْط البحرين.</w:t>
      </w:r>
    </w:p>
    <w:p w14:paraId="4EE632BF" w14:textId="5542B650" w:rsidR="00241575" w:rsidRPr="00241575" w:rsidRDefault="0024157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D7"/>
    <w:rsid w:val="00093D59"/>
    <w:rsid w:val="001377D9"/>
    <w:rsid w:val="001668C1"/>
    <w:rsid w:val="001B3ED5"/>
    <w:rsid w:val="00241575"/>
    <w:rsid w:val="002A7B28"/>
    <w:rsid w:val="0069705B"/>
    <w:rsid w:val="00711B70"/>
    <w:rsid w:val="007E1FD7"/>
    <w:rsid w:val="00AE15CC"/>
    <w:rsid w:val="00CE6D06"/>
    <w:rsid w:val="00DC4926"/>
    <w:rsid w:val="00EC3C50"/>
    <w:rsid w:val="00F86004"/>
    <w:rsid w:val="00F94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12B0A"/>
  <w15:chartTrackingRefBased/>
  <w15:docId w15:val="{20EB07A0-CC8E-4575-946D-09DD0CB7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5CC"/>
    <w:pPr>
      <w:bidi/>
    </w:pPr>
    <w:rPr>
      <w:rFonts w:eastAsiaTheme="minorEastAsia"/>
      <w:sz w:val="24"/>
      <w:szCs w:val="24"/>
    </w:rPr>
  </w:style>
  <w:style w:type="paragraph" w:styleId="Heading1">
    <w:name w:val="heading 1"/>
    <w:basedOn w:val="Normal"/>
    <w:link w:val="Heading1Char"/>
    <w:uiPriority w:val="9"/>
    <w:qFormat/>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bidi w:val="0"/>
      <w:spacing w:before="100" w:beforeAutospacing="1" w:after="100" w:afterAutospacing="1"/>
    </w:p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E15CC"/>
    <w:pPr>
      <w:tabs>
        <w:tab w:val="center" w:pos="4320"/>
        <w:tab w:val="right" w:pos="8640"/>
      </w:tabs>
    </w:pPr>
  </w:style>
  <w:style w:type="character" w:customStyle="1" w:styleId="HeaderChar">
    <w:name w:val="Header Char"/>
    <w:basedOn w:val="DefaultParagraphFont"/>
    <w:link w:val="Header"/>
    <w:uiPriority w:val="99"/>
    <w:rsid w:val="00AE15CC"/>
    <w:rPr>
      <w:rFonts w:eastAsiaTheme="minorEastAsia"/>
      <w:sz w:val="24"/>
      <w:szCs w:val="24"/>
    </w:rPr>
  </w:style>
  <w:style w:type="paragraph" w:styleId="Footer">
    <w:name w:val="footer"/>
    <w:basedOn w:val="Normal"/>
    <w:link w:val="FooterChar"/>
    <w:uiPriority w:val="99"/>
    <w:unhideWhenUsed/>
    <w:rsid w:val="00AE15CC"/>
    <w:pPr>
      <w:tabs>
        <w:tab w:val="center" w:pos="4320"/>
        <w:tab w:val="right" w:pos="8640"/>
      </w:tabs>
    </w:pPr>
  </w:style>
  <w:style w:type="character" w:customStyle="1" w:styleId="FooterChar">
    <w:name w:val="Footer Char"/>
    <w:basedOn w:val="DefaultParagraphFont"/>
    <w:link w:val="Footer"/>
    <w:uiPriority w:val="99"/>
    <w:rsid w:val="00AE15CC"/>
    <w:rPr>
      <w:rFonts w:eastAsiaTheme="minorEastAsia"/>
      <w:sz w:val="24"/>
      <w:szCs w:val="24"/>
    </w:rPr>
  </w:style>
  <w:style w:type="paragraph" w:styleId="FootnoteText">
    <w:name w:val="footnote text"/>
    <w:basedOn w:val="Normal"/>
    <w:link w:val="FootnoteTextChar"/>
    <w:uiPriority w:val="99"/>
    <w:semiHidden/>
    <w:unhideWhenUsed/>
    <w:rsid w:val="001377D9"/>
    <w:rPr>
      <w:sz w:val="20"/>
      <w:szCs w:val="20"/>
    </w:rPr>
  </w:style>
  <w:style w:type="character" w:customStyle="1" w:styleId="FootnoteTextChar">
    <w:name w:val="Footnote Text Char"/>
    <w:basedOn w:val="DefaultParagraphFont"/>
    <w:link w:val="FootnoteText"/>
    <w:uiPriority w:val="99"/>
    <w:semiHidden/>
    <w:rsid w:val="001377D9"/>
    <w:rPr>
      <w:rFonts w:eastAsiaTheme="minorEastAsia"/>
    </w:rPr>
  </w:style>
  <w:style w:type="character" w:styleId="FootnoteReference">
    <w:name w:val="footnote reference"/>
    <w:basedOn w:val="DefaultParagraphFont"/>
    <w:uiPriority w:val="99"/>
    <w:semiHidden/>
    <w:unhideWhenUsed/>
    <w:rsid w:val="00137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15889">
      <w:bodyDiv w:val="1"/>
      <w:marLeft w:val="0"/>
      <w:marRight w:val="0"/>
      <w:marTop w:val="0"/>
      <w:marBottom w:val="0"/>
      <w:divBdr>
        <w:top w:val="none" w:sz="0" w:space="0" w:color="auto"/>
        <w:left w:val="none" w:sz="0" w:space="0" w:color="auto"/>
        <w:bottom w:val="none" w:sz="0" w:space="0" w:color="auto"/>
        <w:right w:val="none" w:sz="0" w:space="0" w:color="auto"/>
      </w:divBdr>
    </w:div>
    <w:div w:id="867764347">
      <w:bodyDiv w:val="1"/>
      <w:marLeft w:val="0"/>
      <w:marRight w:val="0"/>
      <w:marTop w:val="0"/>
      <w:marBottom w:val="0"/>
      <w:divBdr>
        <w:top w:val="none" w:sz="0" w:space="0" w:color="auto"/>
        <w:left w:val="none" w:sz="0" w:space="0" w:color="auto"/>
        <w:bottom w:val="none" w:sz="0" w:space="0" w:color="auto"/>
        <w:right w:val="none" w:sz="0" w:space="0" w:color="auto"/>
      </w:divBdr>
    </w:div>
    <w:div w:id="136868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7129-A835-4779-BFDB-F893E3B4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قانون رقم (10) لسنة 2006 بشأن مهام واختصاصات الهيئة الوطنية للنفط والغاز المنشأة بالمرسوم رقم (63) لسنة 2005 وتعديل بعض أحكام المرسوم بقانون رقم (42) لسنة 1999 بإنشاء شركة نفط البحرين</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(10) لسنة 2006 بشأن مهام واختصاصات الهيئة الوطنية للنفط والغاز المنشأة بالمرسوم رقم (63) لسنة 2005 وتعديل بعض أحكام المرسوم بقانون رقم (42) لسنة 1999 بإنشاء شركة نفط البحرين</dc:title>
  <dc:subject/>
  <dc:creator>عبدالعزيز سعد العجمي</dc:creator>
  <cp:keywords/>
  <dc:description/>
  <cp:lastModifiedBy>سلمان محمد ال محمود</cp:lastModifiedBy>
  <cp:revision>2</cp:revision>
  <dcterms:created xsi:type="dcterms:W3CDTF">2023-09-10T09:25:00Z</dcterms:created>
  <dcterms:modified xsi:type="dcterms:W3CDTF">2023-09-10T09:25:00Z</dcterms:modified>
</cp:coreProperties>
</file>